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8" w:rsidRPr="00FF0C08" w:rsidRDefault="000552F6" w:rsidP="000552F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Проводится </w:t>
      </w:r>
      <w:r w:rsidR="00FF0C08" w:rsidRPr="00FF0C0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общественное обсуждение проекта постановления администрации городского поселения  «Об утверждении Программы профилактики рисков причинения вреда (ущерба) охраняемым законом ценностям при осуществлении муниципального контроля»</w:t>
      </w:r>
    </w:p>
    <w:p w:rsidR="00FF0C08" w:rsidRPr="00FF0C08" w:rsidRDefault="00BB768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Администрацией 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</w:t>
      </w:r>
      <w:proofErr w:type="spellStart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Слакбашевский</w:t>
      </w:r>
      <w:proofErr w:type="spellEnd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района </w:t>
      </w:r>
      <w:proofErr w:type="spellStart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Белебеевский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  Республики Башкортостан, с  01 октября 2021 года по  01 ноября 2021 года, проводится общественное обсуждение проекта постановления администрации 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 «Об утверждении Программы профилактики рисков причинения вреда (ущерба) охраняемым законом ценностям при осуществлении муниципального контроля» (далее-Программа).</w:t>
      </w:r>
    </w:p>
    <w:p w:rsidR="00FF0C08" w:rsidRPr="00FF0C08" w:rsidRDefault="00BB768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Замечания и предложения по проекту ПРОГРАММЫ  могут быть направлены по почте (почтовый адрес: 45201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Республика Башкортостан, </w:t>
      </w:r>
      <w:proofErr w:type="spellStart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Белебеевский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Start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.С</w:t>
      </w:r>
      <w:proofErr w:type="gramEnd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лакбаш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К.Иванова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д.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47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), по электронной почте: </w:t>
      </w:r>
      <w:proofErr w:type="spellStart"/>
      <w:r w:rsidR="001A795F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slakbashadm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@mail.ru, а также в Администрацию 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поселения, на бумажном или электронном носителе нарочным способом в рабочие дни с 9.00 до 18.00 ( Республика Башкортостан, </w:t>
      </w:r>
      <w:proofErr w:type="spellStart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Белебеевский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с.Слакбаш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К.Иванова</w:t>
      </w:r>
      <w:proofErr w:type="spellEnd"/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д.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47</w:t>
      </w:r>
      <w:r w:rsidR="00FF0C08"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FF0C08" w:rsidRP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Ответственное лицо, осуществляющее прием замечаний и предложений по проекту Программы, 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Егорова Ольга Анатольевна</w:t>
      </w:r>
      <w:r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управляющий делами Администрации.</w:t>
      </w:r>
    </w:p>
    <w:p w:rsid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проектом постановления можно ознакомиться на официальном сайте 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сельского </w:t>
      </w:r>
      <w:r w:rsidRPr="00FF0C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в разделе “Проекты НПА</w:t>
      </w:r>
      <w:r w:rsidR="001A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Башкортостан </w:t>
      </w:r>
      <w:proofErr w:type="spellStart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Республика</w:t>
      </w:r>
      <w:r w:rsidRPr="00055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  <w:proofErr w:type="spellEnd"/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әбәй</w:t>
      </w:r>
      <w:proofErr w:type="spellEnd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районы </w:t>
      </w:r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çлакбаш</w:t>
      </w:r>
      <w:proofErr w:type="spell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0552F6" w:rsidRPr="000552F6" w:rsidRDefault="000552F6" w:rsidP="000552F6">
      <w:pPr>
        <w:framePr w:w="4272" w:wrap="auto" w:vAnchor="page" w:hAnchor="page" w:x="1291" w:y="10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5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билә</w:t>
      </w:r>
      <w:proofErr w:type="gramStart"/>
      <w:r w:rsidRPr="0005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End"/>
      <w:r w:rsidRPr="0005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әhе</w:t>
      </w:r>
      <w:proofErr w:type="spellEnd"/>
      <w:r w:rsidRPr="0005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5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Хакимиәте</w:t>
      </w:r>
      <w:proofErr w:type="spellEnd"/>
    </w:p>
    <w:p w:rsid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A795F" w:rsidRPr="001A795F" w:rsidRDefault="001A795F" w:rsidP="001A795F">
      <w:pPr>
        <w:framePr w:wrap="auto" w:vAnchor="page" w:hAnchor="page" w:x="5431" w:y="87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2F6" w:rsidRPr="000552F6" w:rsidRDefault="000552F6" w:rsidP="000552F6">
      <w:pPr>
        <w:framePr w:w="4061" w:h="2656" w:hRule="exact" w:wrap="auto" w:vAnchor="page" w:hAnchor="page" w:x="7291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552F6" w:rsidRPr="000552F6" w:rsidRDefault="000552F6" w:rsidP="000552F6">
      <w:pPr>
        <w:framePr w:w="4061" w:h="2656" w:hRule="exact" w:wrap="auto" w:vAnchor="page" w:hAnchor="page" w:x="7291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552F6" w:rsidRPr="000552F6" w:rsidRDefault="000552F6" w:rsidP="000552F6">
      <w:pPr>
        <w:framePr w:w="4061" w:h="2656" w:hRule="exact" w:wrap="auto" w:vAnchor="page" w:hAnchor="page" w:x="7291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552F6" w:rsidRPr="000552F6" w:rsidRDefault="000552F6" w:rsidP="000552F6">
      <w:pPr>
        <w:framePr w:w="4061" w:h="2656" w:hRule="exact" w:wrap="auto" w:vAnchor="page" w:hAnchor="page" w:x="7291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552F6" w:rsidRPr="000552F6" w:rsidRDefault="000552F6" w:rsidP="000552F6">
      <w:pPr>
        <w:framePr w:w="4061" w:h="2656" w:hRule="exact" w:wrap="auto" w:vAnchor="page" w:hAnchor="page" w:x="7291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552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5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552F6" w:rsidRPr="000552F6" w:rsidRDefault="000552F6" w:rsidP="000552F6">
      <w:pPr>
        <w:framePr w:wrap="auto" w:vAnchor="page" w:hAnchor="page" w:x="5431" w:y="87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0552F6" w:rsidRPr="000552F6" w:rsidTr="00AE5199">
        <w:tc>
          <w:tcPr>
            <w:tcW w:w="10685" w:type="dxa"/>
          </w:tcPr>
          <w:p w:rsidR="000552F6" w:rsidRPr="000552F6" w:rsidRDefault="000552F6" w:rsidP="000552F6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</w:tcPr>
          <w:p w:rsidR="000552F6" w:rsidRPr="000552F6" w:rsidRDefault="000552F6" w:rsidP="000552F6">
            <w:pPr>
              <w:spacing w:after="0" w:line="240" w:lineRule="auto"/>
              <w:ind w:left="10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2F6" w:rsidRPr="000552F6" w:rsidRDefault="000552F6" w:rsidP="00055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</w:t>
      </w:r>
    </w:p>
    <w:p w:rsid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2F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207DF1" wp14:editId="358C74B2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0552F6" w:rsidRPr="000552F6" w:rsidTr="00AE5199">
        <w:tc>
          <w:tcPr>
            <w:tcW w:w="10685" w:type="dxa"/>
          </w:tcPr>
          <w:p w:rsidR="000552F6" w:rsidRPr="000552F6" w:rsidRDefault="000552F6" w:rsidP="000552F6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  <w:tc>
          <w:tcPr>
            <w:tcW w:w="3211" w:type="dxa"/>
          </w:tcPr>
          <w:p w:rsidR="000552F6" w:rsidRPr="000552F6" w:rsidRDefault="000552F6" w:rsidP="000552F6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проект</w:t>
      </w: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КАРАР                                                              ПОСТАНОВЛЕНИЕ</w:t>
      </w: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«___»___________  20__ й.             №____                  «___»____________ 20___г.</w:t>
      </w: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0552F6" w:rsidRPr="000552F6" w:rsidRDefault="000552F6" w:rsidP="000552F6">
      <w:pPr>
        <w:spacing w:after="0" w:line="2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</w:t>
      </w:r>
    </w:p>
    <w:p w:rsidR="000552F6" w:rsidRPr="000552F6" w:rsidRDefault="000552F6" w:rsidP="001A795F">
      <w:pPr>
        <w:spacing w:after="0" w:line="2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52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ab/>
      </w:r>
    </w:p>
    <w:p w:rsidR="001A795F" w:rsidRPr="001A795F" w:rsidRDefault="001A795F" w:rsidP="001A795F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A795F" w:rsidRPr="001A795F" w:rsidRDefault="001A795F" w:rsidP="001A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1A795F">
        <w:rPr>
          <w:rFonts w:ascii="Liberation Serif" w:eastAsia="Times New Roman" w:hAnsi="Liberation Serif" w:cs="Liberation Serif"/>
          <w:b/>
          <w:bCs/>
          <w:color w:val="0000FF"/>
          <w:sz w:val="28"/>
          <w:szCs w:val="28"/>
          <w:lang w:eastAsia="ru-RU"/>
        </w:rPr>
        <w:t xml:space="preserve">       </w:t>
      </w:r>
      <w:r w:rsidRPr="001A795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соответствии с Федеральным законом от 31 июля 2020 года № 248-ФЗ </w:t>
      </w:r>
      <w:r w:rsidRPr="001A795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1A795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</w:t>
      </w:r>
      <w:r w:rsidRPr="001A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A795F" w:rsidRPr="001A795F" w:rsidRDefault="001A795F" w:rsidP="001A7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лесного  контроля согласно Приложению №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земельного  контроля согласно Приложению №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Приложению №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95F" w:rsidRPr="001A795F" w:rsidRDefault="00BB7688" w:rsidP="00BB768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1A795F"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 января 2022 года.</w:t>
      </w:r>
    </w:p>
    <w:p w:rsidR="001A795F" w:rsidRPr="001A795F" w:rsidRDefault="001A795F" w:rsidP="001A795F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в здании Администрации </w:t>
      </w:r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</w:t>
      </w:r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A795F" w:rsidRPr="001A795F" w:rsidRDefault="001A795F" w:rsidP="001A795F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A795F" w:rsidRPr="00BB7688" w:rsidRDefault="001A795F" w:rsidP="001A79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Д.Ю.Андреев</w:t>
      </w:r>
      <w:proofErr w:type="spellEnd"/>
    </w:p>
    <w:p w:rsidR="001A795F" w:rsidRPr="001A795F" w:rsidRDefault="001A795F" w:rsidP="001A79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88" w:rsidRDefault="00BB7688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88" w:rsidRDefault="00BB7688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88" w:rsidRDefault="00BB7688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688" w:rsidRPr="001A795F" w:rsidRDefault="00BB7688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2F6" w:rsidRDefault="000552F6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                         от ______________ 2021 г. № ____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Слакбашевский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 контролируемых лиц в сфере лесного хозяйства;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лесов;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лесов;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лесов;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лесов и лесоразведение.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видам объектов муниципального контроля - производственные объекты, относятся: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предупреждения и тушения лесных пожаров;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проверки в рамках муниципального контроля не проводились.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предупреждение нарушений обязательных требований в сфере муниципального лесного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1A795F" w:rsidRPr="001A795F" w:rsidRDefault="001A795F" w:rsidP="001A7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лесном контроле контроля, утвержденном решением Совета 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проводятся следующие профилактические мероприятия: 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должностные лица, </w:t>
            </w:r>
            <w:r w:rsidRPr="001A79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ответственные за реализацию мероприятия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Сроки </w:t>
            </w: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(периодичность) их проведения</w:t>
            </w:r>
          </w:p>
        </w:tc>
      </w:tr>
      <w:tr w:rsidR="001A795F" w:rsidRPr="001A795F" w:rsidTr="00A609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</w:p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</w:t>
            </w:r>
          </w:p>
        </w:tc>
      </w:tr>
      <w:tr w:rsidR="001A795F" w:rsidRPr="001A795F" w:rsidTr="00A609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1A795F">
              <w:rPr>
                <w:rFonts w:ascii="Times New Roman" w:eastAsia="Calibri" w:hAnsi="Times New Roman" w:cs="Times New Roman"/>
                <w:lang w:eastAsia="ru-RU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1A795F" w:rsidRPr="001A795F" w:rsidTr="00A6095E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5F" w:rsidRPr="001A795F" w:rsidTr="00A609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Муниципального лесного контроля.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1A795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795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IV. Показатели результативности и эффективности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Pr="001A795F">
        <w:rPr>
          <w:rFonts w:ascii="Times New Roman" w:eastAsia="Calibri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F">
        <w:rPr>
          <w:rFonts w:ascii="Times New Roman" w:eastAsia="Calibri" w:hAnsi="Times New Roman" w:cs="Times New Roman"/>
          <w:sz w:val="24"/>
          <w:szCs w:val="24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F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</w:t>
      </w:r>
      <w:r w:rsidRPr="001A795F">
        <w:rPr>
          <w:rFonts w:ascii="Times New Roman" w:eastAsia="Calibri" w:hAnsi="Times New Roman" w:cs="Times New Roman"/>
          <w:sz w:val="26"/>
          <w:szCs w:val="26"/>
        </w:rPr>
        <w:t xml:space="preserve"> контроля в </w:t>
      </w:r>
      <w:r w:rsidRPr="001A795F">
        <w:rPr>
          <w:rFonts w:ascii="Times New Roman" w:eastAsia="Calibri" w:hAnsi="Times New Roman" w:cs="Times New Roman"/>
          <w:sz w:val="24"/>
          <w:szCs w:val="24"/>
        </w:rPr>
        <w:t xml:space="preserve">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88" w:rsidRPr="001A795F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Приложение №2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                       от ______________ 2021 г. № ____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Слакбашевский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A795F" w:rsidRPr="001A795F" w:rsidRDefault="001A795F" w:rsidP="001A7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A795F" w:rsidRPr="001A795F" w:rsidRDefault="001A795F" w:rsidP="001A7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A795F" w:rsidRPr="001A795F" w:rsidRDefault="001A795F" w:rsidP="001A7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объекты земельных отношений, расположенные в границах 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795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проверки в рамках муниципального контроля не проводились.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гражданами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муниципального земельного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A795F" w:rsidRPr="001A795F" w:rsidRDefault="001A795F" w:rsidP="001A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1A795F" w:rsidRPr="001A795F" w:rsidRDefault="001A795F" w:rsidP="001A7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земельном контроле контроля, утвержденном решением Совета </w:t>
      </w: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A795F">
        <w:rPr>
          <w:rFonts w:ascii="Times New Roman" w:eastAsia="Calibri" w:hAnsi="Times New Roman" w:cs="Times New Roman"/>
          <w:sz w:val="28"/>
          <w:szCs w:val="28"/>
        </w:rPr>
        <w:t>Слакбашевский</w:t>
      </w:r>
      <w:proofErr w:type="spellEnd"/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должностные лица, ответственные за реализацию мероприятия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A795F" w:rsidRPr="001A795F" w:rsidTr="00A609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</w:t>
            </w:r>
          </w:p>
        </w:tc>
      </w:tr>
      <w:tr w:rsidR="001A795F" w:rsidRPr="001A795F" w:rsidTr="00A609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на сайте администрации руководств по соблюдению обязательных </w:t>
            </w: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требований в сфере муниципального земельного контроля при направлении их в адрес</w:t>
            </w:r>
            <w:proofErr w:type="gramEnd"/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Должностное лицо Администрации сельского поселения в соответствии                          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мере поступления</w:t>
            </w:r>
          </w:p>
        </w:tc>
      </w:tr>
      <w:tr w:rsidR="001A795F" w:rsidRPr="001A795F" w:rsidTr="00A6095E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5F" w:rsidRPr="001A795F" w:rsidTr="00A609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Муниципального земельного контроля.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1A795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1A795F">
        <w:rPr>
          <w:rFonts w:ascii="Times New Roman" w:eastAsia="Calibri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lastRenderedPageBreak/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Приложение № 3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                         от ______________ 2021 г. № ____</w:t>
      </w:r>
    </w:p>
    <w:p w:rsidR="001A795F" w:rsidRPr="001A795F" w:rsidRDefault="001A795F" w:rsidP="001A79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Слакбашевский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A7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4"/>
          <w:lang w:eastAsia="ru-RU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проверки в рамках муниципального контроля не проводились.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</w:t>
      </w: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lastRenderedPageBreak/>
        <w:t>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муниципального лесного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A795F" w:rsidRPr="001A795F" w:rsidRDefault="001A795F" w:rsidP="001A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1A795F" w:rsidRPr="001A795F" w:rsidRDefault="001A795F" w:rsidP="001A7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муниципальном </w:t>
      </w:r>
      <w:r w:rsidRPr="001A795F">
        <w:rPr>
          <w:rFonts w:ascii="Times New Roman" w:eastAsia="Calibri" w:hAnsi="Times New Roman" w:cs="Times New Roman"/>
          <w:sz w:val="28"/>
          <w:szCs w:val="28"/>
        </w:rPr>
        <w:t>контроля  в сфере благоустройства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Совета </w:t>
      </w: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A795F">
        <w:rPr>
          <w:rFonts w:ascii="Times New Roman" w:eastAsia="Calibri" w:hAnsi="Times New Roman" w:cs="Times New Roman"/>
          <w:sz w:val="28"/>
          <w:szCs w:val="28"/>
        </w:rPr>
        <w:lastRenderedPageBreak/>
        <w:t>Слакбашевский</w:t>
      </w:r>
      <w:proofErr w:type="spellEnd"/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  <w:proofErr w:type="gramEnd"/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должностные лица, ответственные за реализацию мероприятия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A795F" w:rsidRPr="001A795F" w:rsidTr="00A609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</w:t>
            </w:r>
          </w:p>
        </w:tc>
      </w:tr>
      <w:tr w:rsidR="001A795F" w:rsidRPr="001A795F" w:rsidTr="00A609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1A795F">
              <w:rPr>
                <w:rFonts w:ascii="Times New Roman" w:eastAsia="Calibri" w:hAnsi="Times New Roman" w:cs="Times New Roman"/>
                <w:lang w:eastAsia="ru-RU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1A795F" w:rsidRPr="001A795F" w:rsidTr="00A6095E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5F" w:rsidRPr="001A795F" w:rsidTr="00A609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Муниципального лесного контроля.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1A795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1A795F">
        <w:rPr>
          <w:rFonts w:ascii="Times New Roman" w:eastAsia="Calibri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688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688" w:rsidRPr="001A795F" w:rsidRDefault="00BB7688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1A795F" w:rsidRPr="001A795F" w:rsidRDefault="001A795F" w:rsidP="001A79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A795F" w:rsidRPr="001A795F" w:rsidRDefault="001A795F" w:rsidP="001A795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1A795F">
        <w:rPr>
          <w:rFonts w:ascii="Times New Roman" w:eastAsia="Times New Roman" w:hAnsi="Times New Roman" w:cs="Times New Roman"/>
          <w:lang w:eastAsia="ru-RU"/>
        </w:rPr>
        <w:t xml:space="preserve">             от ______________ 2021 г. № ____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95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 и в дорожном хозяйстве в границах населенного пункта (далее – муниципальный контроль).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Слакбашевский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1A795F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1A795F" w:rsidRPr="001A795F" w:rsidRDefault="001A795F" w:rsidP="001A79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A795F" w:rsidRPr="001A795F" w:rsidRDefault="001A795F" w:rsidP="001A7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1A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1A795F" w:rsidRPr="001A795F" w:rsidRDefault="001A795F" w:rsidP="001A7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95F" w:rsidRPr="001A795F" w:rsidRDefault="001A795F" w:rsidP="001A7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автомобильные дороги местного значения в границах населенного пункта </w:t>
      </w:r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полосы отвода и придорожные полосы автомобильных дорог, объекты временного и капитального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пользуются и к </w:t>
      </w:r>
      <w:proofErr w:type="gramStart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95F" w:rsidRPr="001A795F" w:rsidRDefault="001A795F" w:rsidP="001A7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проверки в рамках муниципального контроля не проводились.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A795F" w:rsidRPr="001A795F" w:rsidRDefault="001A795F" w:rsidP="001A7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</w:t>
      </w:r>
      <w:r w:rsidRPr="001A795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lastRenderedPageBreak/>
        <w:t>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1A795F" w:rsidRPr="001A795F" w:rsidRDefault="001A795F" w:rsidP="001A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муниципального лесного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A795F" w:rsidRPr="001A795F" w:rsidRDefault="001A795F" w:rsidP="001A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1A795F" w:rsidRPr="001A795F" w:rsidRDefault="001A795F" w:rsidP="001A7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(периодичность) их проведения</w:t>
      </w:r>
    </w:p>
    <w:p w:rsidR="001A795F" w:rsidRPr="001A795F" w:rsidRDefault="001A795F" w:rsidP="001A7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Положением о муниципальном</w:t>
      </w:r>
      <w:r w:rsidRPr="001A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</w:t>
      </w:r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Слакбашевский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1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мероприятий: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4500"/>
        <w:gridCol w:w="2167"/>
        <w:gridCol w:w="1276"/>
      </w:tblGrid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должностные лица, ответственные за реализацию мероприятия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A795F" w:rsidRPr="001A795F" w:rsidTr="00A609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</w:t>
            </w:r>
          </w:p>
        </w:tc>
      </w:tr>
      <w:tr w:rsidR="001A795F" w:rsidRPr="001A795F" w:rsidTr="00A609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1A795F">
              <w:rPr>
                <w:rFonts w:ascii="Times New Roman" w:eastAsia="Calibri" w:hAnsi="Times New Roman" w:cs="Times New Roman"/>
                <w:lang w:eastAsia="ru-RU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1A795F" w:rsidRPr="001A795F" w:rsidTr="00A6095E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предостережений контролируемым лицам для целей принятия </w:t>
            </w: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 по обеспечению соблюдения обязательных требований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Должностное лицо Администрации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течение года (при </w:t>
            </w: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наличии оснований)</w:t>
            </w:r>
          </w:p>
          <w:p w:rsidR="001A795F" w:rsidRPr="001A795F" w:rsidRDefault="001A795F" w:rsidP="001A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95F" w:rsidRPr="001A795F" w:rsidTr="00A609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Муниципального лесного контроля.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1A795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F" w:rsidRPr="001A795F" w:rsidRDefault="001A795F" w:rsidP="001A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5F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1A795F" w:rsidRPr="001A795F" w:rsidRDefault="001A795F" w:rsidP="001A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5F" w:rsidRPr="001A795F" w:rsidRDefault="001A795F" w:rsidP="001A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5F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A795F" w:rsidRPr="001A795F" w:rsidRDefault="001A795F" w:rsidP="001A7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1A795F">
        <w:rPr>
          <w:rFonts w:ascii="Times New Roman" w:eastAsia="Calibri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1A795F" w:rsidRPr="001A795F" w:rsidRDefault="001A795F" w:rsidP="001A7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A795F" w:rsidRPr="001A795F" w:rsidRDefault="001A795F" w:rsidP="001A7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95F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F0C08" w:rsidRDefault="00FF0C08" w:rsidP="00FF0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sectPr w:rsidR="00FF0C08" w:rsidSect="00592D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F"/>
    <w:rsid w:val="00016597"/>
    <w:rsid w:val="000552F6"/>
    <w:rsid w:val="001A795F"/>
    <w:rsid w:val="00592DC9"/>
    <w:rsid w:val="0097539F"/>
    <w:rsid w:val="00BB7688"/>
    <w:rsid w:val="00CD39E1"/>
    <w:rsid w:val="00E53D5B"/>
    <w:rsid w:val="00FD353E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2021-09-30T07:04:00Z</cp:lastPrinted>
  <dcterms:created xsi:type="dcterms:W3CDTF">2021-09-30T05:10:00Z</dcterms:created>
  <dcterms:modified xsi:type="dcterms:W3CDTF">2021-10-01T09:47:00Z</dcterms:modified>
</cp:coreProperties>
</file>