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B" w:rsidRDefault="00FA1B50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28363B" w:rsidRPr="00022FE9">
        <w:rPr>
          <w:rFonts w:ascii="Arial" w:hAnsi="Arial" w:cs="Arial"/>
          <w:b/>
          <w:bCs/>
          <w:sz w:val="20"/>
          <w:szCs w:val="20"/>
        </w:rPr>
        <w:t>Б</w:t>
      </w:r>
      <w:r w:rsidR="0028363B">
        <w:rPr>
          <w:rFonts w:ascii="Arial" w:hAnsi="Arial" w:cs="Arial"/>
          <w:b/>
          <w:bCs/>
          <w:sz w:val="20"/>
          <w:szCs w:val="20"/>
        </w:rPr>
        <w:t>ашкортостан</w:t>
      </w:r>
      <w:r w:rsidR="0028363B"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 w:rsidR="0028363B">
        <w:rPr>
          <w:rFonts w:ascii="Arial" w:hAnsi="Arial" w:cs="Arial"/>
          <w:b/>
          <w:bCs/>
          <w:sz w:val="20"/>
          <w:szCs w:val="20"/>
        </w:rPr>
        <w:t>еспублика</w:t>
      </w:r>
      <w:r w:rsidR="0028363B">
        <w:rPr>
          <w:b/>
          <w:bCs/>
          <w:sz w:val="20"/>
          <w:szCs w:val="20"/>
        </w:rPr>
        <w:t>һы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әбәйрайоны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оветыауыл</w:t>
      </w:r>
      <w:proofErr w:type="spellEnd"/>
    </w:p>
    <w:p w:rsidR="0028363B" w:rsidRPr="00783D1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D1B">
        <w:rPr>
          <w:b/>
          <w:sz w:val="20"/>
          <w:szCs w:val="20"/>
        </w:rPr>
        <w:t>билә</w:t>
      </w:r>
      <w:proofErr w:type="gramStart"/>
      <w:r w:rsidRPr="00783D1B">
        <w:rPr>
          <w:b/>
          <w:sz w:val="20"/>
          <w:szCs w:val="20"/>
        </w:rPr>
        <w:t>м</w:t>
      </w:r>
      <w:proofErr w:type="gramEnd"/>
      <w:r w:rsidRPr="00783D1B">
        <w:rPr>
          <w:b/>
          <w:sz w:val="20"/>
          <w:szCs w:val="20"/>
        </w:rPr>
        <w:t>әhе Хакимиәте</w:t>
      </w:r>
    </w:p>
    <w:p w:rsidR="0028363B" w:rsidRPr="005C08F2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</w:p>
    <w:p w:rsidR="0028363B" w:rsidRPr="00022FE9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/>
      </w:tblPr>
      <w:tblGrid>
        <w:gridCol w:w="10685"/>
        <w:gridCol w:w="3211"/>
      </w:tblGrid>
      <w:tr w:rsidR="0028363B" w:rsidRPr="005F1883" w:rsidTr="00147C85"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147C85">
            <w:pPr>
              <w:ind w:left="1063"/>
              <w:rPr>
                <w:sz w:val="28"/>
                <w:szCs w:val="28"/>
              </w:rPr>
            </w:pPr>
          </w:p>
        </w:tc>
      </w:tr>
    </w:tbl>
    <w:p w:rsidR="00721FD9" w:rsidRDefault="00721FD9" w:rsidP="00721FD9">
      <w:pPr>
        <w:pStyle w:val="Standard"/>
        <w:rPr>
          <w:b/>
          <w:bCs/>
          <w:sz w:val="28"/>
          <w:szCs w:val="28"/>
        </w:rPr>
      </w:pPr>
    </w:p>
    <w:p w:rsidR="00092B2D" w:rsidRDefault="00092B2D" w:rsidP="00092B2D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ПОСТАНОВЛЕНИЕ</w:t>
      </w:r>
    </w:p>
    <w:p w:rsidR="00092B2D" w:rsidRDefault="00092B2D" w:rsidP="00092B2D">
      <w:pPr>
        <w:rPr>
          <w:sz w:val="28"/>
          <w:szCs w:val="28"/>
        </w:rPr>
      </w:pPr>
    </w:p>
    <w:p w:rsidR="002D5004" w:rsidRDefault="002D5004" w:rsidP="002D5004">
      <w:pPr>
        <w:rPr>
          <w:sz w:val="28"/>
          <w:szCs w:val="28"/>
        </w:rPr>
      </w:pPr>
      <w:r>
        <w:rPr>
          <w:sz w:val="28"/>
          <w:szCs w:val="28"/>
        </w:rPr>
        <w:t>13 сентябрь  2021й.                           № 28                 13 сентября  2021г.</w:t>
      </w:r>
    </w:p>
    <w:p w:rsidR="002D5004" w:rsidRDefault="002D5004" w:rsidP="002D5004">
      <w:pPr>
        <w:tabs>
          <w:tab w:val="left" w:pos="3585"/>
          <w:tab w:val="left" w:pos="5205"/>
        </w:tabs>
        <w:rPr>
          <w:sz w:val="28"/>
          <w:szCs w:val="28"/>
        </w:rPr>
      </w:pPr>
    </w:p>
    <w:p w:rsidR="00FA1B50" w:rsidRDefault="00FA1B50" w:rsidP="00FA1B50">
      <w:pPr>
        <w:pStyle w:val="a8"/>
        <w:shd w:val="clear" w:color="auto" w:fill="FFFFFF"/>
        <w:ind w:firstLine="12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Об утверждении Порядка составления и ведения</w:t>
      </w:r>
    </w:p>
    <w:p w:rsidR="00FA1B50" w:rsidRDefault="00FA1B50" w:rsidP="00FA1B50">
      <w:pPr>
        <w:pStyle w:val="a8"/>
        <w:shd w:val="clear" w:color="auto" w:fill="FFFFFF"/>
        <w:ind w:firstLine="12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кассового плана</w:t>
      </w:r>
    </w:p>
    <w:p w:rsidR="00FA1B50" w:rsidRDefault="00FA1B50" w:rsidP="00FA1B50">
      <w:pPr>
        <w:pStyle w:val="consplus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A1B50" w:rsidRDefault="00FA1B50" w:rsidP="00FA1B50">
      <w:pPr>
        <w:pStyle w:val="consplus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соответствии со статьей 217.1 Бюджетного кодекса Российской Федерации</w:t>
      </w:r>
    </w:p>
    <w:p w:rsidR="00FA1B50" w:rsidRDefault="00FA1B50" w:rsidP="00FA1B50">
      <w:pPr>
        <w:pStyle w:val="consplus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A1B50" w:rsidRDefault="00FA1B50" w:rsidP="00FA1B50">
      <w:pPr>
        <w:pStyle w:val="consplus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ПОСТАНОВЛЯЮ:</w:t>
      </w:r>
    </w:p>
    <w:p w:rsidR="00FA1B50" w:rsidRDefault="00FA1B50" w:rsidP="00FA1B50">
      <w:pPr>
        <w:pStyle w:val="consplusnormalmrcssattr"/>
        <w:shd w:val="clear" w:color="auto" w:fill="FFFFFF"/>
        <w:ind w:firstLine="54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FA1B50" w:rsidRDefault="00FA1B50" w:rsidP="00FA1B50">
      <w:pPr>
        <w:pStyle w:val="consplusnormalmrcssattr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1. Утвердить прилагаемый текст Порядка составления и ведения кассового плана.</w:t>
      </w:r>
    </w:p>
    <w:p w:rsidR="00FA1B50" w:rsidRDefault="00FA1B50" w:rsidP="00FA1B50">
      <w:pPr>
        <w:pStyle w:val="consplusnormalmrcssattr"/>
        <w:shd w:val="clear" w:color="auto" w:fill="FFFFFF"/>
        <w:spacing w:before="225" w:before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2. Настоящее постановление распространяется на правоотношения, возникшие с 1 января 2021 года.</w:t>
      </w:r>
    </w:p>
    <w:p w:rsidR="00FA1B50" w:rsidRDefault="00FA1B50" w:rsidP="00FA1B50">
      <w:pPr>
        <w:pStyle w:val="consplusnormalmrcssattr"/>
        <w:shd w:val="clear" w:color="auto" w:fill="FFFFFF"/>
        <w:spacing w:before="225" w:beforeAutospacing="0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3. 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2D5004" w:rsidRPr="00FA1B50" w:rsidRDefault="00FA1B50" w:rsidP="00FA1B50">
      <w:pPr>
        <w:pStyle w:val="consplusnormalmrcssattr"/>
        <w:shd w:val="clear" w:color="auto" w:fill="FFFFFF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2D5004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Default="002D5004" w:rsidP="002D5004">
      <w:pPr>
        <w:tabs>
          <w:tab w:val="left" w:pos="98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сельского поселения                                  Д.Ю.Андреев</w:t>
      </w:r>
    </w:p>
    <w:p w:rsidR="002D5004" w:rsidRDefault="002D5004" w:rsidP="002D5004">
      <w:pPr>
        <w:tabs>
          <w:tab w:val="left" w:pos="989"/>
        </w:tabs>
        <w:ind w:firstLine="709"/>
        <w:rPr>
          <w:sz w:val="26"/>
          <w:szCs w:val="26"/>
        </w:rPr>
      </w:pPr>
    </w:p>
    <w:p w:rsidR="002D5004" w:rsidRDefault="002D5004" w:rsidP="002D5004">
      <w:pPr>
        <w:tabs>
          <w:tab w:val="left" w:pos="989"/>
        </w:tabs>
        <w:ind w:firstLine="709"/>
        <w:rPr>
          <w:sz w:val="26"/>
          <w:szCs w:val="26"/>
        </w:rPr>
      </w:pPr>
    </w:p>
    <w:p w:rsidR="002D5004" w:rsidRDefault="002D5004" w:rsidP="002D50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D5004" w:rsidRDefault="002D5004" w:rsidP="002D5004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A1B50" w:rsidRDefault="00FA1B50" w:rsidP="002D5004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5004" w:rsidRDefault="002D5004" w:rsidP="002D5004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2D5004" w:rsidRDefault="002D5004" w:rsidP="002D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сельского поселения </w:t>
      </w:r>
    </w:p>
    <w:p w:rsidR="002D5004" w:rsidRDefault="002D5004" w:rsidP="002D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2D5004" w:rsidRDefault="002D5004" w:rsidP="002D50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D5004" w:rsidRDefault="002D5004" w:rsidP="002D50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2021 года №  28</w:t>
      </w:r>
    </w:p>
    <w:p w:rsidR="002D5004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Default="002D5004" w:rsidP="002D5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D5004" w:rsidRDefault="002D5004" w:rsidP="002D500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текущем финансовом году </w:t>
      </w:r>
    </w:p>
    <w:p w:rsidR="002D5004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D5004" w:rsidRPr="00FA1B50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1.2. Кассовый план включает: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 Республики Башкортостан на текущий финансовый год;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 Республики Башкортостан  на текущий месяц.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1.3. Составление и ведение кассового плана осуществляется администрацией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показателях сводной бюджетной росписи бюджета 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района).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(далее – кассовый план на текущий финансовый год) составляется по форме согласно приложению № 1 к настоящему Порядку, кассовый план исполнения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(далее – кассовый план на текущий месяц) – согласно приложению № 2 к настоящему Порядку и утверждается главой Администрации (лицом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его обязанности).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1.5. 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год, формируемого в порядке, предусмотренном главой II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год, формируемого в порядке, предусмотренном главой III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год, формируемого в порядке, предусмотренном главой IV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1.6. 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главами II - IV настоящего Порядка: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месяц, формируемого в порядке, предусмотренном главой II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месяц, формируемого в порядке, предусмотренном главой III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месяц, формируемого в порядке, предусмотренном главой IV настоящего Порядка;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1.7. Показатели кассового плана на текущий месяц (приложение № 2 к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>настоящему Порядку) должны соответствовать показателям кассового плана на текущий финансовый год (приложение № 1</w:t>
      </w:r>
      <w:r w:rsidRPr="00FA1B50">
        <w:t xml:space="preserve"> </w:t>
      </w:r>
      <w:r w:rsidRPr="00FA1B50">
        <w:rPr>
          <w:rFonts w:ascii="Times New Roman" w:hAnsi="Times New Roman" w:cs="Times New Roman"/>
          <w:sz w:val="28"/>
          <w:szCs w:val="28"/>
        </w:rPr>
        <w:t>к настоящему Порядку) по текущему месяцу с учетом внесенных в него изменений в ходе ведения кассового плана.</w:t>
      </w: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II. Порядок составления, уточнения и направления</w:t>
      </w: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и 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 </w:t>
      </w:r>
    </w:p>
    <w:p w:rsidR="002D5004" w:rsidRPr="00FA1B50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финансовый год по поступлениям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 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 3 к настоящему Порядку), полученных от главных администраторов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2.2. 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главными администраторами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2.3. 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 уточненные  прогнозы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3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указываются фактические поступления доходов в бюджет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за отчетный период, в соответствии с информацией об исполнении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района, и уточняются соответствующие показатели периода, следующего за отчетным месяцем.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Уточненные прогнозы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направляются главными администраторами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по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состоянию на первое число текущего месяца – ежемесячно, не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>позднее третьего рабочего дня текущего месяца, в период с февраля по декабрь текущего финансового года.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2.4. Администрация на основе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формирует прогноз поступлений по налоговым и неналоговым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4 к настоящему Порядку):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в целях составления кассового плана на текущий финансовый год –  не позднее четырнадцатого рабочего дня декабря текущего финансового года;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>в целях ведения кассового плана на текущий финансовый год в период с февраля по декабрь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2.5. 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 прогноза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5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 к настоящему Порядку), полученного от главных администраторов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2.6. Прогнозы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формируются и направляются главными администраторами доходов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по состоянию на первое число текущего месяца ежемесячно, не позднее третьего рабочего дня текущего месяца.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2.8. Администрация  на основе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прогнозов главных администраторов доходов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формирует прогноз поступлений по налоговым и неналоговым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 (приложение № 6 к настоящему Порядку):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по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>состоянию на первое число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2.9. Показатели 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5 к настоящему Порядку) должны соответствовать показателям прогнозов поступлений по доходам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3 к настоящему Порядку) по текущему месяцу.</w:t>
      </w:r>
    </w:p>
    <w:p w:rsidR="002D5004" w:rsidRPr="00FA1B50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направления </w:t>
      </w: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и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 </w:t>
      </w:r>
    </w:p>
    <w:p w:rsidR="002D5004" w:rsidRPr="00FA1B50" w:rsidRDefault="002D5004" w:rsidP="002D5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3.1. Показатели для кассового плана на текущий финансовый год по перечислениям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 7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(далее – главные распорядители)  формируют  прогноз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</w:t>
      </w:r>
      <w:r w:rsidRPr="00FA1B50">
        <w:rPr>
          <w:rFonts w:ascii="Times New Roman" w:hAnsi="Times New Roman" w:cs="Times New Roman"/>
          <w:sz w:val="28"/>
          <w:szCs w:val="28"/>
        </w:rPr>
        <w:tab/>
        <w:t>финансовый год</w:t>
      </w:r>
      <w:r w:rsidRPr="00FA1B50">
        <w:rPr>
          <w:rFonts w:ascii="Times New Roman" w:hAnsi="Times New Roman" w:cs="Times New Roman"/>
          <w:sz w:val="28"/>
          <w:szCs w:val="28"/>
        </w:rPr>
        <w:tab/>
        <w:t>(приложение № 7 к настоящему Порядку) и направляют в Администрацию не позднее тринадцатого рабочего дня декабря текущего финансового года.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3.3. В целях ведения кассового плана на текущий финансовый год главные распорядители формируют уточненный прогноз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7 к настоящему Порядку) и направляют в Администрацию.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осуществляется: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– по мере внесения изменений в показатели сводной бюджетной росписи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на основании информации об исполнении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указываются фактические перечисления 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за отчетный период и вносятся соответствующие изменения в показатели периода, следующего за отчетным месяцем.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3.4. Показатели для кассового плана на текущий месяц по перечислениям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8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3.5. В целях составления кассового плана на текущий месяц главные распорядители формируют прогноз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 8 к настоящему Порядку) и направляют в Администрацию: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>в период  с февраля по декабрь текущего финансового года по состоянию на первое число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3.6. Показатели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8 к настоящему Порядку) должны соответствовать показателям прогнозов перечислений по расходам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 7 к настоящему Порядку) по текущему месяцу.</w:t>
      </w:r>
    </w:p>
    <w:p w:rsidR="002D5004" w:rsidRPr="00FA1B50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</w:t>
      </w:r>
    </w:p>
    <w:p w:rsidR="002D5004" w:rsidRPr="00FA1B50" w:rsidRDefault="002D5004" w:rsidP="002D50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4.1. Показатели для кассового плана на текущий финансовый год по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поступлениям и перечислениям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основании: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района;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 9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4.2. Главные администраторы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не позднее тринадцатого рабочего дня декабря текущего финансового года направляют в Администрация прогноз поступлений   и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9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4.3. Администрация на основе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прогнозов главных администраторов источников финансирования дефицита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района, формирует не позднее четырнадцатого рабочего дня декабря текущего финансового года,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на текущий финансовый год (приложение № 9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4.4. В целях ведения кассового плана на текущий финансовый год главными администраторами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и Финансовым управлением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на текущий финансовый год. 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за отчетный период, в соответствии с информацией об исполнении бюджета муниципального района, и уточняются соответствующие показатели периода, следующего за отчетным месяцем.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направляется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в</w:t>
      </w:r>
      <w:r w:rsidRPr="00FA1B50">
        <w:rPr>
          <w:rFonts w:ascii="Times New Roman" w:hAnsi="Times New Roman" w:cs="Times New Roman"/>
          <w:sz w:val="28"/>
          <w:szCs w:val="28"/>
        </w:rPr>
        <w:tab/>
        <w:t>период с февраля по декабрь текущего финансового года по состоянию на первое число текущего месяца в Администрацию ежемесячно не позднее третьего рабочего дня текущего месяца.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 9 к настоящему Порядку).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На основе уточненных прогнозов  главных администраторов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Администрация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финансовый год (приложение № 9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4.6. 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10 к настоящему Порядку).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4.7. Главные администраторы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не позднее тринадцатого рабочего дня декабря текущего финансового года направляют в Администрацию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месяц, сформированный на январь текущего финансового года.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формирует не позднее тринадцатого рабочего дня декабря текущего финансового года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10 к настоящему Порядку), сформированный на январь текущего финансового года.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формирует не позднее четырнадцатого рабочего дня декабря текущего финансового года прогноз </w:t>
      </w:r>
      <w:r w:rsidRPr="00FA1B5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4.9. 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в период с февраля по декабрь текущего финансового года по состоянию на первое число текущего месяца в Администрация ежемесячно не позднее третьего рабочего дня текущего месяца.</w:t>
      </w:r>
      <w:proofErr w:type="gramEnd"/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формируют в период с февраля по декабрь текущего финансового года ежемесячно не позднее третьего рабочего дня текущего месяца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 10 к настоящему Порядку) по состоянию на первое число текущего месяца.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>4.10. 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Администрация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формирует в период с февраля по декабрь текущего финансового года ежемесячно не позднее четвертого рабочего дня текущего месяца прогноз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</w:t>
      </w:r>
      <w:r w:rsidRPr="00FA1B50">
        <w:rPr>
          <w:rFonts w:ascii="Times New Roman" w:hAnsi="Times New Roman" w:cs="Times New Roman"/>
          <w:sz w:val="28"/>
          <w:szCs w:val="28"/>
        </w:rPr>
        <w:tab/>
        <w:t xml:space="preserve"> № 10 к настоящему Порядку) по состоянию на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первое число текущего месяца.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50">
        <w:rPr>
          <w:rFonts w:ascii="Times New Roman" w:hAnsi="Times New Roman" w:cs="Times New Roman"/>
          <w:sz w:val="28"/>
          <w:szCs w:val="28"/>
        </w:rPr>
        <w:t xml:space="preserve">4.11. 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месяц (приложение № 10 к настоящему Порядку)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 w:rsidRPr="00FA1B5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FA1B5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на текущий финансовый год (приложение № 9</w:t>
      </w:r>
      <w:r w:rsidRPr="00FA1B50">
        <w:t xml:space="preserve"> </w:t>
      </w:r>
      <w:r w:rsidRPr="00FA1B50">
        <w:rPr>
          <w:rFonts w:ascii="Times New Roman" w:hAnsi="Times New Roman" w:cs="Times New Roman"/>
          <w:sz w:val="28"/>
          <w:szCs w:val="28"/>
        </w:rPr>
        <w:t>к настоящему Порядку</w:t>
      </w:r>
      <w:proofErr w:type="gramStart"/>
      <w:r w:rsidRPr="00FA1B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1B50">
        <w:rPr>
          <w:rFonts w:ascii="Times New Roman" w:hAnsi="Times New Roman" w:cs="Times New Roman"/>
          <w:sz w:val="28"/>
          <w:szCs w:val="28"/>
        </w:rPr>
        <w:t xml:space="preserve"> по текущему месяцу.</w:t>
      </w: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004" w:rsidRPr="00FA1B50" w:rsidRDefault="002D5004" w:rsidP="002D50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1B50">
        <w:rPr>
          <w:b/>
          <w:sz w:val="28"/>
          <w:szCs w:val="28"/>
          <w:lang w:val="en-US"/>
        </w:rPr>
        <w:t>V</w:t>
      </w:r>
      <w:r w:rsidRPr="00FA1B50">
        <w:rPr>
          <w:b/>
          <w:sz w:val="28"/>
          <w:szCs w:val="28"/>
        </w:rPr>
        <w:t xml:space="preserve">. Порядок составления и ведения кассового плана </w:t>
      </w:r>
    </w:p>
    <w:p w:rsidR="002D5004" w:rsidRPr="00FA1B50" w:rsidRDefault="002D5004" w:rsidP="002D50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A1B50">
        <w:rPr>
          <w:b/>
          <w:sz w:val="28"/>
          <w:szCs w:val="28"/>
        </w:rPr>
        <w:t xml:space="preserve">на текущий финансовый год и кассового плана на текущий месяц </w:t>
      </w:r>
    </w:p>
    <w:p w:rsidR="002D5004" w:rsidRPr="00FA1B50" w:rsidRDefault="002D5004" w:rsidP="002D500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A1B50">
        <w:rPr>
          <w:b/>
          <w:sz w:val="28"/>
          <w:szCs w:val="28"/>
        </w:rPr>
        <w:tab/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 xml:space="preserve">5.1. Кассовый план на текущий финансовый год составляется структурными подразделениями Администрации, на которые возложены эти обязанности согласно Положениям о структурных подразделениях и должностным инструкциями работников (приложение № 1 к настоящему </w:t>
      </w:r>
      <w:r w:rsidRPr="00FA1B50">
        <w:rPr>
          <w:sz w:val="28"/>
          <w:szCs w:val="28"/>
        </w:rPr>
        <w:lastRenderedPageBreak/>
        <w:t xml:space="preserve">Порядку), не позднее пятнадцатого рабочего дня декабря текущего финансового года. 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руководителями  структурных подразделений  Администрации.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5.2. Администрация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структурных подразделений Администрации в соответствии с требованиями настоящего Порядка.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5.3. Кассовый план на текущий месяц (приложение № 2 к настоящему Порядку) составляется Администрацией: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2D5004" w:rsidRPr="00FA1B50" w:rsidRDefault="002D5004" w:rsidP="002D500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1B50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2D5004" w:rsidRPr="00FA1B50" w:rsidRDefault="002D5004" w:rsidP="002D5004">
      <w:pPr>
        <w:tabs>
          <w:tab w:val="left" w:pos="989"/>
        </w:tabs>
        <w:jc w:val="both"/>
        <w:rPr>
          <w:sz w:val="26"/>
          <w:szCs w:val="26"/>
        </w:rPr>
      </w:pPr>
    </w:p>
    <w:p w:rsidR="000B376F" w:rsidRPr="00FA1B50" w:rsidRDefault="000B376F" w:rsidP="00FD025A">
      <w:pPr>
        <w:tabs>
          <w:tab w:val="left" w:pos="989"/>
        </w:tabs>
        <w:jc w:val="both"/>
        <w:rPr>
          <w:sz w:val="26"/>
          <w:szCs w:val="26"/>
        </w:rPr>
      </w:pPr>
    </w:p>
    <w:sectPr w:rsidR="000B376F" w:rsidRPr="00FA1B50" w:rsidSect="008D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47B41EE"/>
    <w:multiLevelType w:val="hybridMultilevel"/>
    <w:tmpl w:val="D87ED7EC"/>
    <w:lvl w:ilvl="0" w:tplc="575CF814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3B"/>
    <w:rsid w:val="0002534D"/>
    <w:rsid w:val="00056124"/>
    <w:rsid w:val="00060051"/>
    <w:rsid w:val="000641FF"/>
    <w:rsid w:val="00066F8C"/>
    <w:rsid w:val="00092B2D"/>
    <w:rsid w:val="000A5750"/>
    <w:rsid w:val="000A68E4"/>
    <w:rsid w:val="000B376F"/>
    <w:rsid w:val="000C5CF5"/>
    <w:rsid w:val="000D59F9"/>
    <w:rsid w:val="00103AC2"/>
    <w:rsid w:val="001045C4"/>
    <w:rsid w:val="001272ED"/>
    <w:rsid w:val="00161EF0"/>
    <w:rsid w:val="00165879"/>
    <w:rsid w:val="001659CE"/>
    <w:rsid w:val="00182D8E"/>
    <w:rsid w:val="001921F3"/>
    <w:rsid w:val="001A3ABA"/>
    <w:rsid w:val="001E0805"/>
    <w:rsid w:val="00204739"/>
    <w:rsid w:val="002121B3"/>
    <w:rsid w:val="00217BA8"/>
    <w:rsid w:val="002275BD"/>
    <w:rsid w:val="00240FA6"/>
    <w:rsid w:val="00254B52"/>
    <w:rsid w:val="00264A9C"/>
    <w:rsid w:val="0028363B"/>
    <w:rsid w:val="00284079"/>
    <w:rsid w:val="002B51F7"/>
    <w:rsid w:val="002D5004"/>
    <w:rsid w:val="002E2EAE"/>
    <w:rsid w:val="00301984"/>
    <w:rsid w:val="003168F7"/>
    <w:rsid w:val="0033367F"/>
    <w:rsid w:val="003353F4"/>
    <w:rsid w:val="003372C5"/>
    <w:rsid w:val="00350841"/>
    <w:rsid w:val="003527A9"/>
    <w:rsid w:val="00382DB3"/>
    <w:rsid w:val="003B2C3B"/>
    <w:rsid w:val="003B2EBF"/>
    <w:rsid w:val="003E27E8"/>
    <w:rsid w:val="003F7580"/>
    <w:rsid w:val="004101A4"/>
    <w:rsid w:val="004328BA"/>
    <w:rsid w:val="00486542"/>
    <w:rsid w:val="004C5FE1"/>
    <w:rsid w:val="004C6493"/>
    <w:rsid w:val="004F48A6"/>
    <w:rsid w:val="00500313"/>
    <w:rsid w:val="00512141"/>
    <w:rsid w:val="00512C1D"/>
    <w:rsid w:val="00514423"/>
    <w:rsid w:val="005443D6"/>
    <w:rsid w:val="005623C7"/>
    <w:rsid w:val="00592F9D"/>
    <w:rsid w:val="005A7E86"/>
    <w:rsid w:val="005C08F2"/>
    <w:rsid w:val="005D72A4"/>
    <w:rsid w:val="00621DF1"/>
    <w:rsid w:val="0068795B"/>
    <w:rsid w:val="006974DC"/>
    <w:rsid w:val="006B0B68"/>
    <w:rsid w:val="006D0990"/>
    <w:rsid w:val="006D15E4"/>
    <w:rsid w:val="006D1E93"/>
    <w:rsid w:val="006D2C14"/>
    <w:rsid w:val="006F7180"/>
    <w:rsid w:val="00707235"/>
    <w:rsid w:val="0071320B"/>
    <w:rsid w:val="00721FD9"/>
    <w:rsid w:val="00730664"/>
    <w:rsid w:val="00731424"/>
    <w:rsid w:val="00743D67"/>
    <w:rsid w:val="0077433B"/>
    <w:rsid w:val="00783D1B"/>
    <w:rsid w:val="007B1573"/>
    <w:rsid w:val="007E0457"/>
    <w:rsid w:val="007F4D3A"/>
    <w:rsid w:val="00805149"/>
    <w:rsid w:val="00822819"/>
    <w:rsid w:val="008338B6"/>
    <w:rsid w:val="00837AE5"/>
    <w:rsid w:val="00850957"/>
    <w:rsid w:val="00857DAB"/>
    <w:rsid w:val="00860561"/>
    <w:rsid w:val="008A56C2"/>
    <w:rsid w:val="008D4679"/>
    <w:rsid w:val="008D697E"/>
    <w:rsid w:val="008E0291"/>
    <w:rsid w:val="009124DE"/>
    <w:rsid w:val="00923BB2"/>
    <w:rsid w:val="009271F7"/>
    <w:rsid w:val="00972FB6"/>
    <w:rsid w:val="00975FC5"/>
    <w:rsid w:val="00982342"/>
    <w:rsid w:val="0098520A"/>
    <w:rsid w:val="009C166E"/>
    <w:rsid w:val="009D31BA"/>
    <w:rsid w:val="009F4478"/>
    <w:rsid w:val="00A05734"/>
    <w:rsid w:val="00A625A9"/>
    <w:rsid w:val="00A62C55"/>
    <w:rsid w:val="00A705E7"/>
    <w:rsid w:val="00A8428A"/>
    <w:rsid w:val="00A91034"/>
    <w:rsid w:val="00A9760F"/>
    <w:rsid w:val="00AA1BD4"/>
    <w:rsid w:val="00AE0F09"/>
    <w:rsid w:val="00B10715"/>
    <w:rsid w:val="00B2172D"/>
    <w:rsid w:val="00B227C4"/>
    <w:rsid w:val="00B30F91"/>
    <w:rsid w:val="00B35B5D"/>
    <w:rsid w:val="00B37477"/>
    <w:rsid w:val="00B42157"/>
    <w:rsid w:val="00B442D2"/>
    <w:rsid w:val="00B4519C"/>
    <w:rsid w:val="00B965FE"/>
    <w:rsid w:val="00B971F7"/>
    <w:rsid w:val="00B9738C"/>
    <w:rsid w:val="00BF3352"/>
    <w:rsid w:val="00C01452"/>
    <w:rsid w:val="00C0751E"/>
    <w:rsid w:val="00C224FF"/>
    <w:rsid w:val="00C33619"/>
    <w:rsid w:val="00C37C97"/>
    <w:rsid w:val="00C71C37"/>
    <w:rsid w:val="00C72243"/>
    <w:rsid w:val="00C72712"/>
    <w:rsid w:val="00C95017"/>
    <w:rsid w:val="00CB2362"/>
    <w:rsid w:val="00CB2BAA"/>
    <w:rsid w:val="00CE1DCF"/>
    <w:rsid w:val="00D51D3D"/>
    <w:rsid w:val="00D5610D"/>
    <w:rsid w:val="00D72283"/>
    <w:rsid w:val="00D73582"/>
    <w:rsid w:val="00D80E07"/>
    <w:rsid w:val="00D9172A"/>
    <w:rsid w:val="00DB216B"/>
    <w:rsid w:val="00DC6767"/>
    <w:rsid w:val="00DD3AFD"/>
    <w:rsid w:val="00DF4FE7"/>
    <w:rsid w:val="00E01AFA"/>
    <w:rsid w:val="00E3012E"/>
    <w:rsid w:val="00E509EB"/>
    <w:rsid w:val="00E569ED"/>
    <w:rsid w:val="00EA052D"/>
    <w:rsid w:val="00EC0E7C"/>
    <w:rsid w:val="00ED4FB4"/>
    <w:rsid w:val="00EE4CAD"/>
    <w:rsid w:val="00EF1528"/>
    <w:rsid w:val="00F42F4E"/>
    <w:rsid w:val="00F451D9"/>
    <w:rsid w:val="00F817E2"/>
    <w:rsid w:val="00F92FFE"/>
    <w:rsid w:val="00FA1B50"/>
    <w:rsid w:val="00FA4ABD"/>
    <w:rsid w:val="00FA55CA"/>
    <w:rsid w:val="00FD025A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D1B"/>
    <w:pPr>
      <w:ind w:left="720"/>
      <w:contextualSpacing/>
    </w:pPr>
  </w:style>
  <w:style w:type="paragraph" w:customStyle="1" w:styleId="ConsPlusNormal">
    <w:name w:val="ConsPlusNormal"/>
    <w:rsid w:val="002D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FA1B50"/>
    <w:pPr>
      <w:spacing w:before="100" w:beforeAutospacing="1" w:after="100" w:afterAutospacing="1"/>
    </w:pPr>
  </w:style>
  <w:style w:type="paragraph" w:customStyle="1" w:styleId="consplusnormalmrcssattr">
    <w:name w:val="consplusnormal_mr_css_attr"/>
    <w:basedOn w:val="a"/>
    <w:rsid w:val="00FA1B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27C1-2715-4520-BF43-D0314F1D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777</cp:lastModifiedBy>
  <cp:revision>114</cp:revision>
  <cp:lastPrinted>2021-09-14T05:06:00Z</cp:lastPrinted>
  <dcterms:created xsi:type="dcterms:W3CDTF">2017-10-05T04:36:00Z</dcterms:created>
  <dcterms:modified xsi:type="dcterms:W3CDTF">2021-09-14T05:06:00Z</dcterms:modified>
</cp:coreProperties>
</file>