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9E" w:rsidRDefault="00BB3B9E" w:rsidP="00BB3B9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Башкортостан Республика</w:t>
      </w:r>
      <w:r>
        <w:rPr>
          <w:rFonts w:ascii="Times New Roman" w:hAnsi="Times New Roman"/>
          <w:b/>
          <w:bCs/>
          <w:sz w:val="20"/>
          <w:szCs w:val="20"/>
        </w:rPr>
        <w:t>һ</w:t>
      </w:r>
      <w:r>
        <w:rPr>
          <w:b/>
          <w:bCs/>
          <w:sz w:val="20"/>
          <w:szCs w:val="20"/>
        </w:rPr>
        <w:t>ы</w:t>
      </w:r>
    </w:p>
    <w:p w:rsidR="00BB3B9E" w:rsidRDefault="00BB3B9E" w:rsidP="00BB3B9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Бә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л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әбәй районы </w:t>
      </w:r>
    </w:p>
    <w:p w:rsidR="00BB3B9E" w:rsidRDefault="00BB3B9E" w:rsidP="00BB3B9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муниципаль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районы</w:t>
      </w:r>
    </w:p>
    <w:p w:rsidR="00BB3B9E" w:rsidRDefault="00BB3B9E" w:rsidP="00BB3B9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Ы</w:t>
      </w:r>
      <w:proofErr w:type="gramEnd"/>
      <w:r>
        <w:rPr>
          <w:rFonts w:ascii="Arial" w:hAnsi="Arial" w:cs="Arial"/>
          <w:b/>
          <w:sz w:val="20"/>
          <w:szCs w:val="20"/>
        </w:rPr>
        <w:t>çлакбашауыл</w:t>
      </w:r>
      <w:proofErr w:type="spellEnd"/>
    </w:p>
    <w:p w:rsidR="00BB3B9E" w:rsidRDefault="00BB3B9E" w:rsidP="00BB3B9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советы </w:t>
      </w:r>
      <w:proofErr w:type="spellStart"/>
      <w:r>
        <w:rPr>
          <w:rFonts w:ascii="Arial" w:hAnsi="Arial" w:cs="Arial"/>
          <w:b/>
          <w:sz w:val="20"/>
          <w:szCs w:val="20"/>
        </w:rPr>
        <w:t>ауыл</w:t>
      </w:r>
      <w:proofErr w:type="spellEnd"/>
    </w:p>
    <w:p w:rsidR="00BB3B9E" w:rsidRDefault="00BB3B9E" w:rsidP="00BB3B9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билә</w:t>
      </w:r>
      <w:proofErr w:type="gramStart"/>
      <w:r>
        <w:rPr>
          <w:rFonts w:ascii="Arial" w:hAnsi="Arial" w:cs="Arial"/>
          <w:b/>
          <w:sz w:val="20"/>
          <w:szCs w:val="20"/>
        </w:rPr>
        <w:t>м</w:t>
      </w:r>
      <w:proofErr w:type="gramEnd"/>
      <w:r>
        <w:rPr>
          <w:rFonts w:ascii="Arial" w:hAnsi="Arial" w:cs="Arial"/>
          <w:b/>
          <w:sz w:val="20"/>
          <w:szCs w:val="20"/>
        </w:rPr>
        <w:t>әhе Хакимиәте</w:t>
      </w:r>
    </w:p>
    <w:p w:rsidR="00BB3B9E" w:rsidRDefault="00BB3B9E" w:rsidP="00BB3B9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Администрация </w:t>
      </w:r>
    </w:p>
    <w:p w:rsidR="00BB3B9E" w:rsidRDefault="00BB3B9E" w:rsidP="00BB3B9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сельского поселения </w:t>
      </w:r>
    </w:p>
    <w:p w:rsidR="00BB3B9E" w:rsidRDefault="00BB3B9E" w:rsidP="00BB3B9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Слакбашевский  сельсовет муниципального района</w:t>
      </w:r>
    </w:p>
    <w:p w:rsidR="00BB3B9E" w:rsidRDefault="00BB3B9E" w:rsidP="00BB3B9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Белебеевский район </w:t>
      </w:r>
    </w:p>
    <w:p w:rsidR="00BB3B9E" w:rsidRDefault="00BB3B9E" w:rsidP="00BB3B9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Республики </w:t>
      </w:r>
      <w:r>
        <w:rPr>
          <w:rFonts w:ascii="Arial" w:hAnsi="Arial" w:cs="Arial"/>
          <w:b/>
          <w:bCs/>
          <w:sz w:val="20"/>
          <w:szCs w:val="20"/>
        </w:rPr>
        <w:t>Башкортостан</w:t>
      </w:r>
    </w:p>
    <w:p w:rsidR="00BB3B9E" w:rsidRDefault="00BB3B9E" w:rsidP="00BB3B9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49045" cy="113728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9E" w:rsidRDefault="00BB3B9E" w:rsidP="00BB3B9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____________________________________________________________________________</w:t>
      </w:r>
    </w:p>
    <w:p w:rsidR="00BB3B9E" w:rsidRDefault="006E3A39" w:rsidP="00BB3B9E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 КАРАР                   </w:t>
      </w:r>
      <w:r w:rsidR="00BB3B9E">
        <w:rPr>
          <w:rFonts w:ascii="Times New Roman" w:hAnsi="Times New Roman"/>
          <w:b/>
          <w:bCs/>
          <w:sz w:val="28"/>
          <w:szCs w:val="28"/>
        </w:rPr>
        <w:tab/>
      </w:r>
      <w:r w:rsidR="00BB3B9E">
        <w:rPr>
          <w:rFonts w:ascii="Times New Roman" w:hAnsi="Times New Roman"/>
          <w:b/>
          <w:bCs/>
          <w:sz w:val="28"/>
          <w:szCs w:val="28"/>
        </w:rPr>
        <w:tab/>
      </w:r>
      <w:r w:rsidR="00BB3B9E">
        <w:rPr>
          <w:rFonts w:ascii="Times New Roman" w:hAnsi="Times New Roman"/>
          <w:b/>
          <w:bCs/>
          <w:sz w:val="28"/>
          <w:szCs w:val="28"/>
        </w:rPr>
        <w:tab/>
      </w:r>
      <w:r w:rsidR="00BB3B9E">
        <w:rPr>
          <w:rFonts w:ascii="Times New Roman" w:hAnsi="Times New Roman"/>
          <w:b/>
          <w:bCs/>
          <w:sz w:val="28"/>
          <w:szCs w:val="28"/>
        </w:rPr>
        <w:tab/>
      </w:r>
      <w:r w:rsidR="00BB3B9E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 ПОСТАНОВЛЕНИЕ</w:t>
      </w:r>
    </w:p>
    <w:p w:rsidR="00BB3B9E" w:rsidRDefault="00E906E6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="00011F1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декабрь</w:t>
      </w:r>
      <w:r w:rsidR="00011F1D">
        <w:rPr>
          <w:rFonts w:ascii="Times New Roman" w:hAnsi="Times New Roman"/>
          <w:b/>
          <w:bCs/>
          <w:sz w:val="28"/>
          <w:szCs w:val="28"/>
        </w:rPr>
        <w:t xml:space="preserve"> 2021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й.      </w:t>
      </w:r>
      <w:r w:rsidR="003C0339">
        <w:rPr>
          <w:rFonts w:ascii="Times New Roman" w:hAnsi="Times New Roman"/>
          <w:b/>
          <w:bCs/>
          <w:sz w:val="28"/>
          <w:szCs w:val="28"/>
        </w:rPr>
        <w:t xml:space="preserve">                № </w:t>
      </w:r>
      <w:r w:rsidR="00011F1D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10</w:t>
      </w:r>
      <w:r w:rsidR="00011F1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декабря</w:t>
      </w:r>
      <w:r w:rsidR="00011F1D">
        <w:rPr>
          <w:rFonts w:ascii="Times New Roman" w:hAnsi="Times New Roman"/>
          <w:b/>
          <w:bCs/>
          <w:sz w:val="28"/>
          <w:szCs w:val="28"/>
        </w:rPr>
        <w:t xml:space="preserve">  2021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E906E6" w:rsidRPr="00511002" w:rsidRDefault="00E906E6" w:rsidP="00E906E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бюджетных инвестиций в объекты муниципальной собственности сельского поселения</w:t>
      </w:r>
    </w:p>
    <w:p w:rsidR="00E906E6" w:rsidRPr="00511002" w:rsidRDefault="00E906E6" w:rsidP="00E906E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принятия решений о подготовке и реализации</w:t>
      </w:r>
    </w:p>
    <w:p w:rsidR="00E906E6" w:rsidRPr="00511002" w:rsidRDefault="00E906E6" w:rsidP="00E906E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бюджетных инвестиций в указанные объекты</w:t>
      </w:r>
    </w:p>
    <w:p w:rsidR="00E906E6" w:rsidRPr="00511002" w:rsidRDefault="00E906E6" w:rsidP="00E9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6E6" w:rsidRPr="00511002" w:rsidRDefault="00E906E6" w:rsidP="00E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6E6" w:rsidRPr="00511002" w:rsidRDefault="00E906E6" w:rsidP="00E906E6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пунктом 2 статьи 79  Бюджетного кодекса Российской Федерации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в л я ю</w:t>
      </w:r>
      <w:r w:rsidRPr="00511002">
        <w:rPr>
          <w:rFonts w:ascii="Times New Roman" w:hAnsi="Times New Roman" w:cs="Times New Roman"/>
          <w:sz w:val="28"/>
          <w:szCs w:val="28"/>
        </w:rPr>
        <w:t>:</w:t>
      </w:r>
    </w:p>
    <w:p w:rsidR="00E906E6" w:rsidRPr="00511002" w:rsidRDefault="00E906E6" w:rsidP="00E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1. Утвердить прилагаемое Положение о порядке осуществления бюджетных инвестиций в объекты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принятия решений о подготовке и реализации бюджетных инвестиций в указанные объекты.</w:t>
      </w:r>
    </w:p>
    <w:p w:rsidR="00E906E6" w:rsidRPr="00511002" w:rsidRDefault="00E906E6" w:rsidP="00E9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5110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906E6" w:rsidRPr="00511002" w:rsidRDefault="00E906E6" w:rsidP="00E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6E6" w:rsidRPr="00511002" w:rsidRDefault="00E906E6" w:rsidP="00E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6E6" w:rsidRPr="00511002" w:rsidRDefault="00E906E6" w:rsidP="00E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6E6" w:rsidRPr="00511002" w:rsidRDefault="00E906E6" w:rsidP="00E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6E6" w:rsidRPr="00511002" w:rsidRDefault="00E906E6" w:rsidP="00E90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06E6" w:rsidRPr="00511002" w:rsidRDefault="00E906E6" w:rsidP="00E9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511002">
        <w:rPr>
          <w:rFonts w:ascii="Times New Roman" w:hAnsi="Times New Roman" w:cs="Times New Roman"/>
          <w:sz w:val="28"/>
          <w:szCs w:val="28"/>
        </w:rPr>
        <w:tab/>
      </w:r>
      <w:r w:rsidRPr="005110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C7146">
        <w:rPr>
          <w:rFonts w:ascii="Times New Roman" w:hAnsi="Times New Roman" w:cs="Times New Roman"/>
          <w:sz w:val="28"/>
          <w:szCs w:val="28"/>
        </w:rPr>
        <w:t>Андреев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7146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906E6" w:rsidRPr="00511002" w:rsidRDefault="00E906E6" w:rsidP="00E90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06E6" w:rsidRPr="00511002" w:rsidRDefault="00E906E6" w:rsidP="00E90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06E6" w:rsidRPr="00511002" w:rsidRDefault="00E906E6" w:rsidP="00E90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06E6" w:rsidRPr="00511002" w:rsidRDefault="00E906E6" w:rsidP="00E90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06E6" w:rsidRPr="00511002" w:rsidRDefault="00E906E6" w:rsidP="00E90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06E6" w:rsidRPr="00511002" w:rsidRDefault="00E906E6" w:rsidP="00E90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06E6" w:rsidRPr="00511002" w:rsidRDefault="00E906E6" w:rsidP="00E90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06E6" w:rsidRPr="00511002" w:rsidRDefault="00E906E6" w:rsidP="00E90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06E6" w:rsidRPr="00511002" w:rsidRDefault="00E906E6" w:rsidP="00E90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06E6" w:rsidRPr="00511002" w:rsidRDefault="00E906E6" w:rsidP="00E90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06E6" w:rsidRPr="00511002" w:rsidRDefault="00E906E6" w:rsidP="00E906E6">
      <w:pPr>
        <w:pStyle w:val="ConsPlusNormal"/>
        <w:ind w:left="4962" w:hanging="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00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</w:t>
      </w:r>
    </w:p>
    <w:p w:rsidR="00E906E6" w:rsidRPr="00511002" w:rsidRDefault="00E906E6" w:rsidP="00E906E6">
      <w:pPr>
        <w:pStyle w:val="ConsPlusNormal"/>
        <w:ind w:left="4962" w:hanging="6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районаБелебеевский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E906E6" w:rsidRPr="00511002" w:rsidRDefault="00E906E6" w:rsidP="00E906E6">
      <w:pPr>
        <w:pStyle w:val="ConsPlusNormal"/>
        <w:ind w:left="4962" w:hanging="6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906E6" w:rsidRPr="00511002" w:rsidRDefault="00E906E6" w:rsidP="00E906E6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110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511002">
        <w:rPr>
          <w:rFonts w:ascii="Times New Roman" w:hAnsi="Times New Roman" w:cs="Times New Roman"/>
          <w:sz w:val="28"/>
          <w:szCs w:val="28"/>
        </w:rPr>
        <w:t xml:space="preserve"> 2021 года №</w:t>
      </w:r>
      <w:r>
        <w:rPr>
          <w:rFonts w:ascii="Times New Roman" w:hAnsi="Times New Roman" w:cs="Times New Roman"/>
          <w:sz w:val="28"/>
          <w:szCs w:val="28"/>
        </w:rPr>
        <w:t xml:space="preserve"> 47</w:t>
      </w:r>
    </w:p>
    <w:p w:rsidR="00E906E6" w:rsidRPr="00511002" w:rsidRDefault="00E906E6" w:rsidP="00E9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6E6" w:rsidRPr="00511002" w:rsidRDefault="00E906E6" w:rsidP="00E9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6E6" w:rsidRPr="00511002" w:rsidRDefault="00E906E6" w:rsidP="00E906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00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906E6" w:rsidRPr="00511002" w:rsidRDefault="00E906E6" w:rsidP="00E906E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002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осуществления бюджетных инвестиций в объекты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Слакбашевский</w:t>
      </w:r>
      <w:proofErr w:type="spellEnd"/>
      <w:r w:rsidRPr="0051100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b/>
          <w:bCs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и принятия решений о подготовке и реализации бюджетных инвестиций в указанные объекты</w:t>
      </w:r>
    </w:p>
    <w:p w:rsidR="00E906E6" w:rsidRPr="00511002" w:rsidRDefault="00E906E6" w:rsidP="00E9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6E6" w:rsidRPr="00511002" w:rsidRDefault="00E906E6" w:rsidP="00E9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E906E6" w:rsidRPr="00511002" w:rsidRDefault="00E906E6" w:rsidP="00E906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11002">
        <w:rPr>
          <w:rFonts w:ascii="Times New Roman" w:hAnsi="Times New Roman" w:cs="Times New Roman"/>
          <w:sz w:val="28"/>
          <w:szCs w:val="28"/>
        </w:rPr>
        <w:t>. Основные положения</w:t>
      </w:r>
    </w:p>
    <w:p w:rsidR="00E906E6" w:rsidRPr="00511002" w:rsidRDefault="00E906E6" w:rsidP="00E9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1.</w:t>
      </w:r>
      <w:r w:rsidRPr="0051100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511002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или в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принятия решений о подготовке и реализации бюджетных инвестиций в указанные объекты (далее - решение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11002">
        <w:rPr>
          <w:rFonts w:ascii="Times New Roman" w:hAnsi="Times New Roman" w:cs="Times New Roman"/>
          <w:sz w:val="28"/>
          <w:szCs w:val="28"/>
        </w:rPr>
        <w:t xml:space="preserve">объекты), в том числе условия передачи органами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муниципальным бюджетным или автономным учреждениям, муниципальным унитарным предприятиям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организации) полномочий муниципального заказчика по заключению и исполнению от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именисельского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муниципальных контрактов от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лица указанных органов в соответствии с настоящим Положением, а также порядок заключения соглашений о передаче указанных полномочий.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2.</w:t>
      </w:r>
      <w:r w:rsidRPr="005110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1002">
        <w:rPr>
          <w:rFonts w:ascii="Times New Roman" w:hAnsi="Times New Roman" w:cs="Times New Roman"/>
          <w:sz w:val="28"/>
          <w:szCs w:val="28"/>
        </w:rPr>
        <w:t>Не допускается при исполнении местного бюджета предоставление бюджетных инвестиций в объекты, по которым принято решение о предоставлении субсидии, предусмотренное пунктом 2 статьи 78.2 Бюджетного кодекса Российской Федерации (далее - решение о предоставлении субсидии).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511002">
        <w:rPr>
          <w:rFonts w:ascii="Times New Roman" w:hAnsi="Times New Roman" w:cs="Times New Roman"/>
          <w:sz w:val="28"/>
          <w:szCs w:val="28"/>
        </w:rPr>
        <w:t xml:space="preserve">Принятие решения в отношении объектов, по которым было принято решение о предоставлении субсидии, осуществляется после признания </w:t>
      </w:r>
      <w:r w:rsidRPr="00511002">
        <w:rPr>
          <w:rFonts w:ascii="Times New Roman" w:hAnsi="Times New Roman" w:cs="Times New Roman"/>
          <w:sz w:val="28"/>
          <w:szCs w:val="28"/>
        </w:rPr>
        <w:lastRenderedPageBreak/>
        <w:t>последнего утратившим силу либо путем внесения в него изменений, связанных с изменением формы предоставления бюджетных средств (с субсидии на бюджетные инвестиции).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3.</w:t>
      </w:r>
      <w:r w:rsidRPr="00511002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511002">
        <w:rPr>
          <w:rFonts w:ascii="Times New Roman" w:hAnsi="Times New Roman" w:cs="Times New Roman"/>
          <w:sz w:val="28"/>
          <w:szCs w:val="28"/>
        </w:rPr>
        <w:t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муниципальной казны.</w:t>
      </w:r>
      <w:proofErr w:type="gramEnd"/>
    </w:p>
    <w:p w:rsidR="00E906E6" w:rsidRPr="00511002" w:rsidRDefault="00E906E6" w:rsidP="00E9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6E6" w:rsidRPr="00511002" w:rsidRDefault="00E906E6" w:rsidP="00E906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11002">
        <w:rPr>
          <w:rFonts w:ascii="Times New Roman" w:hAnsi="Times New Roman" w:cs="Times New Roman"/>
          <w:sz w:val="28"/>
          <w:szCs w:val="28"/>
        </w:rPr>
        <w:t>. Подготовка проекта решения</w:t>
      </w:r>
    </w:p>
    <w:p w:rsidR="00E906E6" w:rsidRPr="00511002" w:rsidRDefault="00E906E6" w:rsidP="00E9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511002">
        <w:rPr>
          <w:rFonts w:ascii="Times New Roman" w:hAnsi="Times New Roman" w:cs="Times New Roman"/>
          <w:sz w:val="28"/>
          <w:szCs w:val="28"/>
        </w:rPr>
        <w:t>4.</w:t>
      </w:r>
      <w:r w:rsidRPr="005110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1002">
        <w:rPr>
          <w:rFonts w:ascii="Times New Roman" w:hAnsi="Times New Roman" w:cs="Times New Roman"/>
          <w:sz w:val="28"/>
          <w:szCs w:val="28"/>
        </w:rPr>
        <w:t xml:space="preserve">Инициатором подготовки проекта решения об осуществлении бюджетных инвестиций в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выступает главный распорядитель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наделенный в установленном порядке полномочиями в соответствующей сфере ответственности.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002">
        <w:rPr>
          <w:rFonts w:ascii="Times New Roman" w:hAnsi="Times New Roman" w:cs="Times New Roman"/>
          <w:sz w:val="28"/>
          <w:szCs w:val="28"/>
        </w:rPr>
        <w:t xml:space="preserve">Инициатором подготовки проекта решения об осуществлении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строительства, полномочия муниципального заказчика по которому предполагается передать организации, выступает главный распорядитель средств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бюджетасельского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чьем ведении находится организация (далее – главный распорядитель средств бюджета).</w:t>
      </w:r>
      <w:proofErr w:type="gramEnd"/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5. Главные распорядители средств бюджета, подготавливают проект решения в форме постановления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Администрациисельского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Администрация).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002">
        <w:rPr>
          <w:rFonts w:ascii="Times New Roman" w:hAnsi="Times New Roman" w:cs="Times New Roman"/>
          <w:sz w:val="28"/>
          <w:szCs w:val="28"/>
        </w:rPr>
        <w:t xml:space="preserve">Проект решения, предусматривающий предоставление бюджетных инвестиций на строительство, реконструкцию, в том числе с элементами реставрации, техническое перевооружение объекта капитального строительства либо приобретение объекта недвижимого имущества в рамках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муниципальная программа), согласовывается главным распорядителем средств бюджета с ответственным исполнителем муниципальной программы в случае, если он не является одновременно ее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ответственным исполнителем.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6. В проект решения может быть включено несколько объектов капитального строительства и (или) объектов недвижимого имущества.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7. Проект решения содержит следующую информацию в отношении </w:t>
      </w:r>
      <w:r w:rsidRPr="00511002">
        <w:rPr>
          <w:rFonts w:ascii="Times New Roman" w:hAnsi="Times New Roman" w:cs="Times New Roman"/>
          <w:sz w:val="28"/>
          <w:szCs w:val="28"/>
        </w:rPr>
        <w:lastRenderedPageBreak/>
        <w:t>каждого объекта капитального строительства либо объекта недвижимого имущества: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а) наименование объекта капитального строительства либо наименование объекта недвижимого имущества;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б) 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в) наименование главного распорядителя средств бюджета и муниципального заказчика;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г) наименование застройщика (заказчика);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>) мощность (прирост мощности) объекта капитального строительства, подлежащая вводу, мощность объекта недвижимого имущества;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е) срок ввода в эксплуатацию (приобретения) объекта;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002">
        <w:rPr>
          <w:rFonts w:ascii="Times New Roman" w:hAnsi="Times New Roman" w:cs="Times New Roman"/>
          <w:sz w:val="28"/>
          <w:szCs w:val="28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>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лет);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100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>) распределение сметной стоимости объекта капитального строительства (при наличии утвержденной проектной документации), или предполагаемой (предельной) стоимости объекта капитального строительства, или стоимости приобретения объекта недвижимого имущества по годам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лет);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002">
        <w:rPr>
          <w:rFonts w:ascii="Times New Roman" w:hAnsi="Times New Roman" w:cs="Times New Roman"/>
          <w:sz w:val="28"/>
          <w:szCs w:val="28"/>
        </w:rPr>
        <w:t>и)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технологического и ценового аудита, если инвестиции на указанные цели предоставляются (в ценах </w:t>
      </w:r>
      <w:r w:rsidRPr="00511002">
        <w:rPr>
          <w:rFonts w:ascii="Times New Roman" w:hAnsi="Times New Roman" w:cs="Times New Roman"/>
          <w:sz w:val="28"/>
          <w:szCs w:val="28"/>
        </w:rPr>
        <w:lastRenderedPageBreak/>
        <w:t>соответствующих лет);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002">
        <w:rPr>
          <w:rFonts w:ascii="Times New Roman" w:hAnsi="Times New Roman" w:cs="Times New Roman"/>
          <w:sz w:val="28"/>
          <w:szCs w:val="28"/>
        </w:rPr>
        <w:t>к) распределение общего (предельного) объема предоставляемых инвестиций по годам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и ценового аудита, если инвестиции на указанные цели предоставляются (в ценах соответствующих лет);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л) наименование муниципальной программы, в рамках которой предполагается осуществлять бюджетные инвестиции.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8. В случае необходимости корректировки проектной документации в проекте решения могут быть предусмотрены средства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511002">
        <w:rPr>
          <w:rFonts w:ascii="Times New Roman" w:hAnsi="Times New Roman" w:cs="Times New Roman"/>
          <w:sz w:val="28"/>
          <w:szCs w:val="28"/>
        </w:rPr>
        <w:t xml:space="preserve">Главный распорядитель средств бюджета направляет согласованный в установленном порядке с ответственным исполнителем муниципальной программы проект решения с пояснительной запиской и финансово-экономическим обоснованием одновременно в структурные подразделения Администрации, наделенные в установленном порядке полномочиями в сферах ведения экономического развития и инвестиций муниципального образования, земельных и имущественных отношений, градостроительства, строительства, транспорта и жилищно-коммунального хозяйства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Башкортостан (далее – ответственные структурные подразделения Администрации) для подготовки заключения не позднее 1 августа текущего года (по особо опасным, технически сложным и уникальным объектам капитального строительства - не </w:t>
      </w:r>
      <w:proofErr w:type="gramStart"/>
      <w:r w:rsidRPr="0051100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чем 1 июля текущего года).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10. Ответственные структурные подразделения Администрации рассматривают проект решения в течение 20 календарных дней со дня его поступления (по особо опасным, технически сложным и уникальным объектам капитального строительства - в течение 50 календарных дней со дня его поступления).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11. Проект решения с положительными заключениями ответственных структурных подразделений Администрации направляется в Финансовое управление администрации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Финансовое управление) в течение 5 календарных дней со дня получения заключений.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предусматриваемый на реализацию бюджетных инвестиций, согласовывается Финансовым управлением с Главой Администрации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Глава Администрации) и доводится до главных распорядителей средств бюджета.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На основании доведенных Финансовым управлением планируемых </w:t>
      </w:r>
      <w:r w:rsidRPr="00511002">
        <w:rPr>
          <w:rFonts w:ascii="Times New Roman" w:hAnsi="Times New Roman" w:cs="Times New Roman"/>
          <w:sz w:val="28"/>
          <w:szCs w:val="28"/>
        </w:rPr>
        <w:lastRenderedPageBreak/>
        <w:t xml:space="preserve">параметров предельных объемов бюджетных ассигнований на очередной финансовый год и плановый </w:t>
      </w:r>
      <w:proofErr w:type="gramStart"/>
      <w:r w:rsidRPr="00511002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главные распорядители средств бюджета уточняют проекты решений, которые рассматриваются на совещании с участием Главы Администрации.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Уточненные проекты решений направляются главными распорядителями средств бюджета ответственным исполнителям муниципальных программ для включения ими объектов в муниципальные программы, а также в Финансовое управление для включения в проект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период.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После утверждения местного бюджета на очередной финансовый год и плановый период проект решения утверждается постановлением Администрации.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12. Принятие решений об осуществлении бюджетных инвестиций в текущем финансовом году, внесение изменений в ранее принятые решения, включая изменения, предусмотренные абзацем вторым пункта 2 настоящего Положения, осуществляются в порядке, установленном настоящим Положением, решением о местном бюджете на очередной финансовый год и плановый период,  в соответствии с бюджетным законодательством Российской Федерации.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13. Главный распорядитель средств бюджета направляет в течение 3 рабочих дней со дня утверждения постановлением Администрации решение (изменения, внесенные в решение) в ответственные структурные подразделения Администрации, Финансовое управление.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14. Главный распорядитель средств бюджета осуществляет ведение реестра принятых решений о подготовке и реализации бюджетных инвестиций в объекты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 w:rsidRPr="00511002">
        <w:rPr>
          <w:rFonts w:ascii="Times New Roman" w:hAnsi="Times New Roman" w:cs="Times New Roman"/>
          <w:sz w:val="28"/>
          <w:szCs w:val="28"/>
        </w:rPr>
        <w:t>в электронном виде по форме в соответствии с приложением к настоящему Положению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>.</w:t>
      </w:r>
    </w:p>
    <w:p w:rsidR="00E906E6" w:rsidRPr="00511002" w:rsidRDefault="00E906E6" w:rsidP="00E9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6E6" w:rsidRPr="00511002" w:rsidRDefault="00E906E6" w:rsidP="00E906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11002">
        <w:rPr>
          <w:rFonts w:ascii="Times New Roman" w:hAnsi="Times New Roman" w:cs="Times New Roman"/>
          <w:sz w:val="28"/>
          <w:szCs w:val="28"/>
        </w:rPr>
        <w:t>. Осуществление бюджетных инвестиций</w:t>
      </w:r>
    </w:p>
    <w:p w:rsidR="00E906E6" w:rsidRPr="00511002" w:rsidRDefault="00E906E6" w:rsidP="00E9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15.</w:t>
      </w:r>
      <w:r w:rsidRPr="005110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1002">
        <w:rPr>
          <w:rFonts w:ascii="Times New Roman" w:hAnsi="Times New Roman" w:cs="Times New Roman"/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002">
        <w:rPr>
          <w:rFonts w:ascii="Times New Roman" w:hAnsi="Times New Roman" w:cs="Times New Roman"/>
          <w:sz w:val="28"/>
          <w:szCs w:val="28"/>
        </w:rPr>
        <w:t>а)</w:t>
      </w:r>
      <w:r w:rsidRPr="005110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1002">
        <w:rPr>
          <w:rFonts w:ascii="Times New Roman" w:hAnsi="Times New Roman" w:cs="Times New Roman"/>
          <w:sz w:val="28"/>
          <w:szCs w:val="28"/>
        </w:rPr>
        <w:t>муниципальными заказчиками, являющимися получателями средств местного бюджета;</w:t>
      </w:r>
      <w:proofErr w:type="gramEnd"/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4"/>
      <w:bookmarkEnd w:id="4"/>
      <w:r w:rsidRPr="00511002">
        <w:rPr>
          <w:rFonts w:ascii="Times New Roman" w:hAnsi="Times New Roman" w:cs="Times New Roman"/>
          <w:sz w:val="28"/>
          <w:szCs w:val="28"/>
        </w:rPr>
        <w:t xml:space="preserve">б) организациями, которым главные распорядители средств бюджета, в чьем ведении находятся организации, передали в соответствии с настоящим Положением свои полномочия муниципального заказчика по заключению и исполнению от имени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муниципальных контрактов.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16. Муниципальные контракты заключаются и оплачиваются в пределах </w:t>
      </w:r>
      <w:r w:rsidRPr="00511002">
        <w:rPr>
          <w:rFonts w:ascii="Times New Roman" w:hAnsi="Times New Roman" w:cs="Times New Roman"/>
          <w:sz w:val="28"/>
          <w:szCs w:val="28"/>
        </w:rPr>
        <w:lastRenderedPageBreak/>
        <w:t>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актами, на срок, превышающий срок действия утвержденных ему лимитов бюджетных обязательств.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17. </w:t>
      </w:r>
      <w:proofErr w:type="gramStart"/>
      <w:r w:rsidRPr="00511002">
        <w:rPr>
          <w:rFonts w:ascii="Times New Roman" w:hAnsi="Times New Roman" w:cs="Times New Roman"/>
          <w:sz w:val="28"/>
          <w:szCs w:val="28"/>
        </w:rPr>
        <w:t xml:space="preserve">В целях осуществления бюджетных инвестиций в соответствии с подпунктом б) пункта 15 настоящего Положения главными распорядителями средств бюджета заключаются с организациями соглашения о передаче полномочий муниципального заказчика по заключению и исполнению от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именисельского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муниципальных контрактов (за исключением полномочий, связанных с введением в установленном порядке в эксплуатацию объекта) (далее - соглашение о передаче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полномочий).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18. Соглашение о передаче полномочий может быть заключено в отношении нескольких объектов и должно содержать в том числе: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002">
        <w:rPr>
          <w:rFonts w:ascii="Times New Roman" w:hAnsi="Times New Roman" w:cs="Times New Roman"/>
          <w:sz w:val="28"/>
          <w:szCs w:val="28"/>
        </w:rPr>
        <w:t>а) 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стоимости объекта капитального строительства муниципальной собственности либо стоимости приобретения объекта</w:t>
      </w:r>
      <w:proofErr w:type="gramEnd"/>
      <w:r w:rsidRPr="00511002">
        <w:rPr>
          <w:rFonts w:ascii="Times New Roman" w:hAnsi="Times New Roman" w:cs="Times New Roman"/>
          <w:sz w:val="28"/>
          <w:szCs w:val="28"/>
        </w:rPr>
        <w:t xml:space="preserve"> недвижимого имущества в муниципальную собственность), а также с указанием рассчитанного в ценах соответствующих лет общего объема капитальных вложений за счет всех источников финансового обеспечения, в том числе объема бюджетных ассигнований, предусмотренного главному распорядителю средств бюджета как получателю средств местного бюджета;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б) положения, устанавливающие права и обязанности организации по заключению и исполнению от имени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муниципальных контрактов;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в) ответственность организации за неисполнение или ненадлежащее исполнение переданных ей полномочий;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г) положения, устанавливающие право главного распорядителя средств бюджета на проведение проверок соблюдения организацией условий, установленных заключенным соглашением о передаче полномочий;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>) положения, устанавливающие обязанность организации по ведению бюджетного учета, составлению и представлению бюджетной отчетности в соответствии с единой методологией и стандартами, установленными Министерством финансов Российской Федерации, главному распорядителю средств бюджета.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19. Операции с бюджетными инвестициями отражаются на лицевых счетах для учета операций со средствами местного бюджета, открытых в Финансовом </w:t>
      </w:r>
      <w:r w:rsidRPr="00511002">
        <w:rPr>
          <w:rFonts w:ascii="Times New Roman" w:hAnsi="Times New Roman" w:cs="Times New Roman"/>
          <w:sz w:val="28"/>
          <w:szCs w:val="28"/>
        </w:rPr>
        <w:lastRenderedPageBreak/>
        <w:t>управлении: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а) получателя бюджетных средств - в случае заключения муниципальных контрактов муниципальным заказчиком;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5"/>
      <w:bookmarkEnd w:id="5"/>
      <w:r w:rsidRPr="00511002">
        <w:rPr>
          <w:rFonts w:ascii="Times New Roman" w:hAnsi="Times New Roman" w:cs="Times New Roman"/>
          <w:sz w:val="28"/>
          <w:szCs w:val="28"/>
        </w:rPr>
        <w:t xml:space="preserve">б)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- в случае заключения муниципальных контрактов организациями от имени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906E6" w:rsidRPr="00511002" w:rsidRDefault="00E906E6" w:rsidP="00E906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20. Основанием для открытия лицевых счетов организациям, указанным в подпункте б) пункта 19 настоящего Положения, является соглашение о передаче полномочий.</w:t>
      </w:r>
    </w:p>
    <w:p w:rsidR="00E906E6" w:rsidRPr="00511002" w:rsidRDefault="00E906E6" w:rsidP="00E9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906E6" w:rsidRPr="00511002" w:rsidSect="007F1A2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906E6" w:rsidRPr="00511002" w:rsidRDefault="00E906E6" w:rsidP="00E90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6E6" w:rsidRDefault="00E906E6" w:rsidP="00E90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906E6" w:rsidSect="00B246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06E6" w:rsidRPr="00511002" w:rsidRDefault="00E906E6" w:rsidP="00E90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</w:t>
      </w:r>
    </w:p>
    <w:p w:rsidR="00E906E6" w:rsidRPr="00511002" w:rsidRDefault="00E906E6" w:rsidP="00E90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>о порядке осуществления бюджетных инвестиций</w:t>
      </w:r>
    </w:p>
    <w:p w:rsidR="00E906E6" w:rsidRPr="00511002" w:rsidRDefault="00E906E6" w:rsidP="00E90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 в объекты муниципальной собственности </w:t>
      </w:r>
    </w:p>
    <w:p w:rsidR="00E906E6" w:rsidRPr="00511002" w:rsidRDefault="00E906E6" w:rsidP="00E90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906E6" w:rsidRPr="00511002" w:rsidRDefault="00E906E6" w:rsidP="00E90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1100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906E6" w:rsidRPr="00511002" w:rsidRDefault="00E906E6" w:rsidP="00E90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 Республики Башкортостан и принятия решений</w:t>
      </w:r>
    </w:p>
    <w:p w:rsidR="00E906E6" w:rsidRPr="00511002" w:rsidRDefault="00E906E6" w:rsidP="00E906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002">
        <w:rPr>
          <w:rFonts w:ascii="Times New Roman" w:hAnsi="Times New Roman" w:cs="Times New Roman"/>
          <w:sz w:val="28"/>
          <w:szCs w:val="28"/>
        </w:rPr>
        <w:t xml:space="preserve"> о подготовке и реализации бюджетных инвестиций в указанные объекты</w:t>
      </w:r>
    </w:p>
    <w:p w:rsidR="00E906E6" w:rsidRPr="00511002" w:rsidRDefault="00E906E6" w:rsidP="00E9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6E6" w:rsidRPr="00511002" w:rsidRDefault="00E906E6" w:rsidP="00E90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6E6" w:rsidRPr="00511002" w:rsidRDefault="00E906E6" w:rsidP="00E90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002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:rsidR="00E906E6" w:rsidRPr="00511002" w:rsidRDefault="00E906E6" w:rsidP="00E90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002">
        <w:rPr>
          <w:rFonts w:ascii="Times New Roman" w:hAnsi="Times New Roman" w:cs="Times New Roman"/>
          <w:b/>
          <w:bCs/>
          <w:sz w:val="28"/>
          <w:szCs w:val="28"/>
        </w:rPr>
        <w:t>принятых решений о подготовке и реализации бюджетных</w:t>
      </w:r>
    </w:p>
    <w:p w:rsidR="00E906E6" w:rsidRPr="00511002" w:rsidRDefault="00E906E6" w:rsidP="00E90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002">
        <w:rPr>
          <w:rFonts w:ascii="Times New Roman" w:hAnsi="Times New Roman" w:cs="Times New Roman"/>
          <w:b/>
          <w:bCs/>
          <w:sz w:val="28"/>
          <w:szCs w:val="28"/>
        </w:rPr>
        <w:t>инвестиций в объекты муниципальной собственности</w:t>
      </w:r>
    </w:p>
    <w:p w:rsidR="00E906E6" w:rsidRPr="00511002" w:rsidRDefault="00E906E6" w:rsidP="00E90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00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Слакбашевский</w:t>
      </w:r>
      <w:proofErr w:type="spellEnd"/>
      <w:r w:rsidRPr="0051100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511002">
        <w:rPr>
          <w:rFonts w:ascii="Times New Roman" w:hAnsi="Times New Roman" w:cs="Times New Roman"/>
          <w:b/>
          <w:bCs/>
          <w:sz w:val="28"/>
          <w:szCs w:val="28"/>
        </w:rPr>
        <w:t>Белебеевский</w:t>
      </w:r>
      <w:proofErr w:type="spellEnd"/>
      <w:r w:rsidRPr="00511002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E906E6" w:rsidRPr="00511002" w:rsidRDefault="00E906E6" w:rsidP="00E90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002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E906E6" w:rsidRPr="00511002" w:rsidRDefault="00E906E6" w:rsidP="00E906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275"/>
        <w:gridCol w:w="1514"/>
        <w:gridCol w:w="1559"/>
        <w:gridCol w:w="1677"/>
        <w:gridCol w:w="1441"/>
        <w:gridCol w:w="1134"/>
        <w:gridCol w:w="1560"/>
        <w:gridCol w:w="1417"/>
        <w:gridCol w:w="1418"/>
        <w:gridCol w:w="1685"/>
      </w:tblGrid>
      <w:tr w:rsidR="00E906E6" w:rsidRPr="00511002" w:rsidTr="005A45C8">
        <w:trPr>
          <w:jc w:val="center"/>
        </w:trPr>
        <w:tc>
          <w:tcPr>
            <w:tcW w:w="534" w:type="dxa"/>
          </w:tcPr>
          <w:p w:rsidR="00E906E6" w:rsidRPr="00511002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1275" w:type="dxa"/>
          </w:tcPr>
          <w:p w:rsidR="00E906E6" w:rsidRPr="00511002" w:rsidRDefault="00E906E6" w:rsidP="005A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Реквизиты правового акта о принятии решения</w:t>
            </w:r>
          </w:p>
        </w:tc>
        <w:tc>
          <w:tcPr>
            <w:tcW w:w="1514" w:type="dxa"/>
          </w:tcPr>
          <w:p w:rsidR="00E906E6" w:rsidRPr="00511002" w:rsidRDefault="00E906E6" w:rsidP="005A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1559" w:type="dxa"/>
          </w:tcPr>
          <w:p w:rsidR="00E906E6" w:rsidRPr="00511002" w:rsidRDefault="00E906E6" w:rsidP="005A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Направление бюджетного инвестирования</w:t>
            </w:r>
          </w:p>
        </w:tc>
        <w:tc>
          <w:tcPr>
            <w:tcW w:w="1677" w:type="dxa"/>
          </w:tcPr>
          <w:p w:rsidR="00E906E6" w:rsidRPr="00511002" w:rsidRDefault="00E906E6" w:rsidP="005A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1441" w:type="dxa"/>
          </w:tcPr>
          <w:p w:rsidR="00E906E6" w:rsidRPr="00511002" w:rsidRDefault="00E906E6" w:rsidP="005A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застройщика (заказчика)</w:t>
            </w:r>
          </w:p>
        </w:tc>
        <w:tc>
          <w:tcPr>
            <w:tcW w:w="1134" w:type="dxa"/>
          </w:tcPr>
          <w:p w:rsidR="00E906E6" w:rsidRPr="00511002" w:rsidRDefault="00E906E6" w:rsidP="005A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Мощность (прирост мощности) объекта</w:t>
            </w:r>
          </w:p>
        </w:tc>
        <w:tc>
          <w:tcPr>
            <w:tcW w:w="1560" w:type="dxa"/>
          </w:tcPr>
          <w:p w:rsidR="00E906E6" w:rsidRPr="00511002" w:rsidRDefault="00E906E6" w:rsidP="005A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ввода в эксплуатацию (приобретения) объекта</w:t>
            </w:r>
          </w:p>
        </w:tc>
        <w:tc>
          <w:tcPr>
            <w:tcW w:w="1417" w:type="dxa"/>
          </w:tcPr>
          <w:p w:rsidR="00E906E6" w:rsidRPr="00511002" w:rsidRDefault="00E906E6" w:rsidP="005A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Сметная стоимость объекта по годам</w:t>
            </w:r>
          </w:p>
        </w:tc>
        <w:tc>
          <w:tcPr>
            <w:tcW w:w="1418" w:type="dxa"/>
          </w:tcPr>
          <w:p w:rsidR="00E906E6" w:rsidRPr="00511002" w:rsidRDefault="00E906E6" w:rsidP="005A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Общий (предельный) объем бюджетных инвестиций по годам</w:t>
            </w:r>
          </w:p>
        </w:tc>
        <w:tc>
          <w:tcPr>
            <w:tcW w:w="1685" w:type="dxa"/>
          </w:tcPr>
          <w:p w:rsidR="00E906E6" w:rsidRPr="00511002" w:rsidRDefault="00E906E6" w:rsidP="005A4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</w:tr>
      <w:tr w:rsidR="00E906E6" w:rsidRPr="0035197A" w:rsidTr="005A45C8">
        <w:trPr>
          <w:jc w:val="center"/>
        </w:trPr>
        <w:tc>
          <w:tcPr>
            <w:tcW w:w="534" w:type="dxa"/>
          </w:tcPr>
          <w:p w:rsidR="00E906E6" w:rsidRPr="00511002" w:rsidRDefault="00E906E6" w:rsidP="005A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0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906E6" w:rsidRPr="00511002" w:rsidRDefault="00E906E6" w:rsidP="005A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0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4" w:type="dxa"/>
          </w:tcPr>
          <w:p w:rsidR="00E906E6" w:rsidRPr="00511002" w:rsidRDefault="00E906E6" w:rsidP="005A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0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906E6" w:rsidRPr="00511002" w:rsidRDefault="00E906E6" w:rsidP="005A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0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77" w:type="dxa"/>
          </w:tcPr>
          <w:p w:rsidR="00E906E6" w:rsidRPr="00511002" w:rsidRDefault="00E906E6" w:rsidP="005A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0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1" w:type="dxa"/>
          </w:tcPr>
          <w:p w:rsidR="00E906E6" w:rsidRPr="00511002" w:rsidRDefault="00E906E6" w:rsidP="005A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0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906E6" w:rsidRPr="00511002" w:rsidRDefault="00E906E6" w:rsidP="005A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0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E906E6" w:rsidRPr="00511002" w:rsidRDefault="00E906E6" w:rsidP="005A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0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E906E6" w:rsidRPr="00511002" w:rsidRDefault="00E906E6" w:rsidP="005A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0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E906E6" w:rsidRPr="00511002" w:rsidRDefault="00E906E6" w:rsidP="005A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0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85" w:type="dxa"/>
          </w:tcPr>
          <w:p w:rsidR="00E906E6" w:rsidRPr="0035197A" w:rsidRDefault="00E906E6" w:rsidP="005A4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0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906E6" w:rsidRPr="0035197A" w:rsidTr="005A45C8">
        <w:trPr>
          <w:jc w:val="center"/>
        </w:trPr>
        <w:tc>
          <w:tcPr>
            <w:tcW w:w="534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6E6" w:rsidRPr="0035197A" w:rsidTr="005A45C8">
        <w:trPr>
          <w:jc w:val="center"/>
        </w:trPr>
        <w:tc>
          <w:tcPr>
            <w:tcW w:w="534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6E6" w:rsidRPr="0035197A" w:rsidTr="005A45C8">
        <w:trPr>
          <w:jc w:val="center"/>
        </w:trPr>
        <w:tc>
          <w:tcPr>
            <w:tcW w:w="534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5" w:type="dxa"/>
          </w:tcPr>
          <w:p w:rsidR="00E906E6" w:rsidRPr="0035197A" w:rsidRDefault="00E906E6" w:rsidP="005A4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906E6" w:rsidRPr="00B406A7" w:rsidRDefault="00E906E6" w:rsidP="00E906E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06E6" w:rsidRDefault="00E906E6" w:rsidP="00E906E6">
      <w:pPr>
        <w:pStyle w:val="FR2"/>
        <w:tabs>
          <w:tab w:val="left" w:pos="5700"/>
        </w:tabs>
        <w:spacing w:before="0"/>
        <w:sectPr w:rsidR="00E906E6" w:rsidSect="00E906E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4569A" w:rsidRDefault="0084569A" w:rsidP="00E906E6">
      <w:pPr>
        <w:pStyle w:val="FR2"/>
        <w:tabs>
          <w:tab w:val="left" w:pos="5700"/>
        </w:tabs>
        <w:spacing w:before="0"/>
      </w:pPr>
    </w:p>
    <w:sectPr w:rsidR="0084569A" w:rsidSect="00B2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BB3B9E"/>
    <w:rsid w:val="00011F1D"/>
    <w:rsid w:val="00176D79"/>
    <w:rsid w:val="003C0339"/>
    <w:rsid w:val="00431B18"/>
    <w:rsid w:val="00505254"/>
    <w:rsid w:val="006E3A39"/>
    <w:rsid w:val="007753E5"/>
    <w:rsid w:val="007A5957"/>
    <w:rsid w:val="0084569A"/>
    <w:rsid w:val="008C4D09"/>
    <w:rsid w:val="00922E7B"/>
    <w:rsid w:val="00B24658"/>
    <w:rsid w:val="00BB3B9E"/>
    <w:rsid w:val="00BF09E1"/>
    <w:rsid w:val="00E21268"/>
    <w:rsid w:val="00E906E6"/>
    <w:rsid w:val="00E90D82"/>
    <w:rsid w:val="00F843B4"/>
    <w:rsid w:val="00F92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B3B9E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B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B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90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90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E1E1BE-11E7-4C99-AF4C-0EE0BF9B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Слак</dc:creator>
  <cp:keywords/>
  <dc:description/>
  <cp:lastModifiedBy>777</cp:lastModifiedBy>
  <cp:revision>17</cp:revision>
  <cp:lastPrinted>2021-12-10T04:01:00Z</cp:lastPrinted>
  <dcterms:created xsi:type="dcterms:W3CDTF">2016-08-26T07:03:00Z</dcterms:created>
  <dcterms:modified xsi:type="dcterms:W3CDTF">2021-12-10T04:02:00Z</dcterms:modified>
</cp:coreProperties>
</file>